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45" w:rsidRDefault="00AF3E77">
      <w:pPr>
        <w:rPr>
          <w:rFonts w:ascii="宋体" w:eastAsia="宋体" w:hAnsi="宋体" w:cs="宋体"/>
          <w:b/>
          <w:bCs/>
          <w:color w:val="FF0000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color w:val="FF0000"/>
          <w:spacing w:val="176"/>
          <w:sz w:val="72"/>
          <w:szCs w:val="72"/>
        </w:rPr>
        <w:t>福建省科学技术</w:t>
      </w:r>
      <w:r>
        <w:rPr>
          <w:rFonts w:ascii="宋体" w:eastAsia="宋体" w:hAnsi="宋体" w:cs="宋体" w:hint="eastAsia"/>
          <w:b/>
          <w:bCs/>
          <w:color w:val="FF0000"/>
          <w:sz w:val="72"/>
          <w:szCs w:val="72"/>
        </w:rPr>
        <w:t>厅</w:t>
      </w:r>
    </w:p>
    <w:p w:rsidR="00672E45" w:rsidRDefault="00672E45">
      <w:pPr>
        <w:rPr>
          <w:rFonts w:ascii="宋体" w:eastAsia="宋体" w:hAnsi="宋体" w:cs="宋体"/>
          <w:b/>
          <w:bCs/>
          <w:color w:val="FF0000"/>
          <w:sz w:val="72"/>
          <w:szCs w:val="72"/>
        </w:rPr>
      </w:pPr>
      <w:r w:rsidRPr="00672E45">
        <w:rPr>
          <w:spacing w:val="391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95pt;margin-top:6.45pt;width:81pt;height:62.2pt;z-index:251662336" o:gfxdata="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j0Q&#10;ndkAAAAKAQAADwAAAAAAAAABACAAAAAiAAAAZHJzL2Rvd25yZXYueG1sUEsBAhQAFAAAAAgAh07i&#10;QDjYHRNaAgAAqwQAAA4AAAAAAAAAAQAgAAAAKAEAAGRycy9lMm9Eb2MueG1sUEsFBgAAAAAGAAYA&#10;WQEAAPQFAAAAAA==&#10;" strokecolor="white" strokeweight="1pt">
            <v:stroke joinstyle="round"/>
            <v:textbox style="layout-flow:vertical-ideographic">
              <w:txbxContent>
                <w:p w:rsidR="00672E45" w:rsidRDefault="00AF3E77">
                  <w:pPr>
                    <w:widowControl w:val="0"/>
                    <w:adjustRightInd/>
                    <w:snapToGrid/>
                    <w:spacing w:line="700" w:lineRule="exact"/>
                    <w:jc w:val="both"/>
                    <w:rPr>
                      <w:rFonts w:ascii="宋体" w:eastAsia="宋体" w:hAnsi="宋体" w:cs="宋体"/>
                      <w:b/>
                      <w:bCs/>
                      <w:color w:val="FF0000"/>
                      <w:spacing w:val="-34"/>
                      <w:sz w:val="72"/>
                      <w:szCs w:val="7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pacing w:val="-34"/>
                      <w:sz w:val="72"/>
                      <w:szCs w:val="72"/>
                    </w:rPr>
                    <w:t>件</w:t>
                  </w:r>
                </w:p>
                <w:p w:rsidR="00672E45" w:rsidRDefault="00AF3E77">
                  <w:pPr>
                    <w:widowControl w:val="0"/>
                    <w:adjustRightInd/>
                    <w:snapToGrid/>
                    <w:spacing w:line="700" w:lineRule="exact"/>
                    <w:jc w:val="both"/>
                    <w:rPr>
                      <w:rFonts w:ascii="宋体" w:eastAsia="宋体" w:hAnsi="宋体" w:cs="宋体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pacing w:val="-20"/>
                      <w:sz w:val="72"/>
                      <w:szCs w:val="72"/>
                    </w:rPr>
                    <w:t>文</w:t>
                  </w:r>
                </w:p>
              </w:txbxContent>
            </v:textbox>
          </v:shape>
        </w:pict>
      </w:r>
      <w:r w:rsidR="00AF3E77">
        <w:rPr>
          <w:rFonts w:ascii="宋体" w:eastAsia="宋体" w:hAnsi="宋体" w:cs="宋体" w:hint="eastAsia"/>
          <w:b/>
          <w:bCs/>
          <w:color w:val="FF0000"/>
          <w:spacing w:val="391"/>
          <w:sz w:val="72"/>
          <w:szCs w:val="72"/>
        </w:rPr>
        <w:t>福建省财政</w:t>
      </w:r>
      <w:r w:rsidR="00AF3E77">
        <w:rPr>
          <w:rFonts w:ascii="宋体" w:eastAsia="宋体" w:hAnsi="宋体" w:cs="宋体" w:hint="eastAsia"/>
          <w:b/>
          <w:bCs/>
          <w:color w:val="FF0000"/>
          <w:sz w:val="72"/>
          <w:szCs w:val="72"/>
        </w:rPr>
        <w:t>厅</w:t>
      </w:r>
    </w:p>
    <w:p w:rsidR="00672E45" w:rsidRDefault="00AF3E77">
      <w:pPr>
        <w:rPr>
          <w:rFonts w:ascii="宋体" w:eastAsia="宋体" w:hAnsi="宋体" w:cs="宋体"/>
          <w:b/>
          <w:bCs/>
          <w:color w:val="FF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color w:val="FF0000"/>
          <w:spacing w:val="-20"/>
          <w:sz w:val="72"/>
          <w:szCs w:val="72"/>
        </w:rPr>
        <w:t>国家税务总局福建省税务局</w:t>
      </w:r>
    </w:p>
    <w:p w:rsidR="00672E45" w:rsidRDefault="00672E45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</w:p>
    <w:p w:rsidR="00672E45" w:rsidRDefault="00672E45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</w:p>
    <w:p w:rsidR="00672E45" w:rsidRDefault="00AF3E77">
      <w:pPr>
        <w:spacing w:after="0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闽科高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</w:p>
    <w:p w:rsidR="00672E45" w:rsidRDefault="00672E45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  <w:r w:rsidRPr="00672E45">
        <w:pict>
          <v:line id="_x0000_s1027" style="position:absolute;left:0;text-align:left;z-index:251661312" from="-6pt,8.15pt" to="435pt,8.15pt" o:gfxdata="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5zputgAAAAJAQAADwAA&#10;AAAAAAABACAAAAAiAAAAZHJzL2Rvd25yZXYueG1sUEsBAhQAFAAAAAgAh07iQMTzy1PdAQAAlwMA&#10;AA4AAAAAAAAAAQAgAAAAJwEAAGRycy9lMm9Eb2MueG1sUEsFBgAAAAAGAAYAWQEAAHYFAAAAAA==&#10;" strokecolor="red" strokeweight="2.5pt"/>
        </w:pict>
      </w:r>
    </w:p>
    <w:p w:rsidR="00672E45" w:rsidRDefault="00AF3E77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福建省科学技术厅</w:t>
      </w:r>
      <w:r>
        <w:rPr>
          <w:rFonts w:ascii="宋体" w:eastAsia="宋体" w:hAnsi="宋体" w:hint="eastAsia"/>
          <w:sz w:val="44"/>
          <w:szCs w:val="44"/>
        </w:rPr>
        <w:t xml:space="preserve"> </w:t>
      </w:r>
      <w:r>
        <w:rPr>
          <w:rFonts w:ascii="宋体" w:eastAsia="宋体" w:hAnsi="宋体" w:hint="eastAsia"/>
          <w:sz w:val="44"/>
          <w:szCs w:val="44"/>
        </w:rPr>
        <w:t>福建省财政厅</w:t>
      </w:r>
      <w:r>
        <w:rPr>
          <w:rFonts w:ascii="宋体" w:eastAsia="宋体" w:hAnsi="宋体" w:hint="eastAsia"/>
          <w:sz w:val="44"/>
          <w:szCs w:val="44"/>
        </w:rPr>
        <w:t xml:space="preserve"> </w:t>
      </w:r>
      <w:r>
        <w:rPr>
          <w:rFonts w:ascii="宋体" w:eastAsia="宋体" w:hAnsi="宋体" w:hint="eastAsia"/>
          <w:sz w:val="44"/>
          <w:szCs w:val="44"/>
        </w:rPr>
        <w:t>国家</w:t>
      </w:r>
    </w:p>
    <w:p w:rsidR="00672E45" w:rsidRDefault="00AF3E77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税务总局福建省税务局关于取消福建</w:t>
      </w:r>
    </w:p>
    <w:p w:rsidR="00672E45" w:rsidRDefault="00AF3E77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神画时代数码动画有限公司等</w:t>
      </w:r>
      <w:r>
        <w:rPr>
          <w:rFonts w:ascii="宋体" w:eastAsia="宋体" w:hAnsi="宋体" w:hint="eastAsia"/>
          <w:sz w:val="44"/>
          <w:szCs w:val="44"/>
        </w:rPr>
        <w:t>8</w:t>
      </w:r>
      <w:r>
        <w:rPr>
          <w:rFonts w:ascii="宋体" w:eastAsia="宋体" w:hAnsi="宋体" w:hint="eastAsia"/>
          <w:sz w:val="44"/>
          <w:szCs w:val="44"/>
        </w:rPr>
        <w:t>家</w:t>
      </w:r>
    </w:p>
    <w:p w:rsidR="00672E45" w:rsidRDefault="00AF3E77">
      <w:pPr>
        <w:spacing w:after="0"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高新技术企业资格的通知</w:t>
      </w:r>
    </w:p>
    <w:p w:rsidR="00672E45" w:rsidRDefault="00672E45">
      <w:pPr>
        <w:spacing w:after="0" w:line="560" w:lineRule="exact"/>
        <w:jc w:val="both"/>
        <w:rPr>
          <w:rFonts w:ascii="宋体" w:eastAsia="宋体" w:hAnsi="宋体"/>
          <w:sz w:val="44"/>
          <w:szCs w:val="44"/>
        </w:rPr>
      </w:pPr>
    </w:p>
    <w:p w:rsidR="00672E45" w:rsidRDefault="00AF3E77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672E45" w:rsidRDefault="00AF3E77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根据《高新技术企业认定管理办法》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国科发火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和《</w:t>
      </w:r>
      <w:r>
        <w:rPr>
          <w:rFonts w:ascii="仿宋" w:eastAsia="仿宋" w:hAnsi="仿宋"/>
          <w:sz w:val="32"/>
          <w:szCs w:val="32"/>
        </w:rPr>
        <w:t>高新技术企业认定管理</w:t>
      </w:r>
      <w:r>
        <w:rPr>
          <w:rFonts w:ascii="仿宋" w:eastAsia="仿宋" w:hAnsi="仿宋" w:hint="eastAsia"/>
          <w:sz w:val="32"/>
          <w:szCs w:val="32"/>
        </w:rPr>
        <w:t>工作指引》（</w:t>
      </w:r>
      <w:r>
        <w:rPr>
          <w:rFonts w:ascii="仿宋" w:eastAsia="仿宋" w:hAnsi="仿宋"/>
          <w:sz w:val="32"/>
          <w:szCs w:val="32"/>
        </w:rPr>
        <w:t>国科发火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195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）的</w:t>
      </w:r>
      <w:r>
        <w:rPr>
          <w:rFonts w:ascii="仿宋" w:eastAsia="仿宋" w:hAnsi="仿宋"/>
          <w:sz w:val="32"/>
          <w:szCs w:val="32"/>
        </w:rPr>
        <w:t>有关规定</w:t>
      </w:r>
      <w:r>
        <w:rPr>
          <w:rFonts w:ascii="仿宋" w:eastAsia="仿宋" w:hAnsi="仿宋" w:hint="eastAsia"/>
          <w:sz w:val="32"/>
          <w:szCs w:val="32"/>
        </w:rPr>
        <w:t>，经研究，决定取消</w:t>
      </w:r>
      <w:r>
        <w:rPr>
          <w:rFonts w:ascii="仿宋" w:eastAsia="仿宋" w:hAnsi="仿宋" w:hint="eastAsia"/>
          <w:sz w:val="32"/>
          <w:szCs w:val="32"/>
        </w:rPr>
        <w:t>福建神画时代数码动画有限公司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GR201635000457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福州德格索兰机械有限公司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GR201635000496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财佰通科技有限公司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GR201735000397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福建宏祥智能科技股份有限公司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GR201735000418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文创科技股份有限公司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GR201735000323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福</w:t>
      </w:r>
      <w:r>
        <w:rPr>
          <w:rFonts w:ascii="仿宋" w:eastAsia="仿宋" w:hAnsi="仿宋" w:hint="eastAsia"/>
          <w:sz w:val="32"/>
          <w:szCs w:val="32"/>
        </w:rPr>
        <w:lastRenderedPageBreak/>
        <w:t>建科捷智能机电股份有限公司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GR201635000130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福建省光都电子科技有限公司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GR201635000056</w:t>
      </w:r>
      <w:r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龙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岩盛丰机械制造有限公司</w:t>
      </w:r>
      <w:r>
        <w:rPr>
          <w:rFonts w:ascii="仿宋" w:eastAsia="仿宋" w:hAnsi="仿宋" w:hint="eastAsia"/>
          <w:sz w:val="32"/>
          <w:szCs w:val="32"/>
        </w:rPr>
        <w:t>（证书编号：</w:t>
      </w:r>
      <w:r>
        <w:rPr>
          <w:rFonts w:ascii="仿宋" w:eastAsia="仿宋" w:hAnsi="仿宋" w:hint="eastAsia"/>
          <w:sz w:val="32"/>
          <w:szCs w:val="32"/>
        </w:rPr>
        <w:t>GR201635000105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家企业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年至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年高新技术企业资格。</w:t>
      </w:r>
    </w:p>
    <w:p w:rsidR="00672E45" w:rsidRDefault="00672E45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672E45" w:rsidRDefault="00672E45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672E45" w:rsidRDefault="00672E45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672E45" w:rsidRDefault="00AF3E77">
      <w:pPr>
        <w:spacing w:after="0" w:line="560" w:lineRule="exact"/>
        <w:ind w:left="5544" w:hangingChars="2100" w:hanging="5544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>福建省科学技术厅</w:t>
      </w: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>福建省财政厅</w:t>
      </w: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>国家税务总局福建省税务局</w:t>
      </w:r>
      <w:r>
        <w:rPr>
          <w:rFonts w:ascii="仿宋" w:eastAsia="仿宋" w:hAnsi="仿宋" w:cs="仿宋" w:hint="eastAsia"/>
          <w:color w:val="333333"/>
          <w:spacing w:val="-28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72E45" w:rsidRDefault="00AF3E77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（此件</w:t>
      </w:r>
      <w:r>
        <w:rPr>
          <w:rFonts w:ascii="仿宋" w:eastAsia="仿宋" w:hAnsi="仿宋" w:hint="eastAsia"/>
          <w:sz w:val="32"/>
          <w:szCs w:val="32"/>
        </w:rPr>
        <w:t>主动</w:t>
      </w:r>
      <w:r>
        <w:rPr>
          <w:rFonts w:ascii="仿宋" w:eastAsia="仿宋" w:hAnsi="仿宋" w:hint="eastAsia"/>
          <w:sz w:val="32"/>
          <w:szCs w:val="32"/>
        </w:rPr>
        <w:t>公开）</w:t>
      </w:r>
    </w:p>
    <w:p w:rsidR="00672E45" w:rsidRDefault="00672E45"/>
    <w:sectPr w:rsidR="00672E45" w:rsidSect="0067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90511C"/>
    <w:rsid w:val="002118DE"/>
    <w:rsid w:val="00672E45"/>
    <w:rsid w:val="00AF3E77"/>
    <w:rsid w:val="38640F55"/>
    <w:rsid w:val="3B5362AE"/>
    <w:rsid w:val="3B90511C"/>
    <w:rsid w:val="53E0606A"/>
    <w:rsid w:val="6BDB29E9"/>
    <w:rsid w:val="74485CB6"/>
    <w:rsid w:val="79A37E71"/>
    <w:rsid w:val="7CD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E4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</dc:creator>
  <cp:lastModifiedBy>Administrator</cp:lastModifiedBy>
  <cp:revision>2</cp:revision>
  <cp:lastPrinted>2020-01-19T07:05:00Z</cp:lastPrinted>
  <dcterms:created xsi:type="dcterms:W3CDTF">2020-02-10T02:54:00Z</dcterms:created>
  <dcterms:modified xsi:type="dcterms:W3CDTF">2020-02-10T02:54:00Z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