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920" w:type="dxa"/>
        <w:tblInd w:w="0" w:type="dxa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6702"/>
        <w:gridCol w:w="2218"/>
      </w:tblGrid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3" w:hRule="exact"/>
        </w:trPr>
        <w:tc>
          <w:tcPr>
            <w:tcW w:w="8920" w:type="dxa"/>
            <w:gridSpan w:val="2"/>
            <w:vAlign w:val="center"/>
          </w:tcPr>
          <w:p>
            <w:pPr>
              <w:adjustRightInd w:val="0"/>
              <w:snapToGrid w:val="0"/>
              <w:spacing w:before="100" w:beforeAutospacing="1" w:after="100" w:afterAutospacing="1"/>
              <w:ind w:right="502" w:rightChars="157"/>
              <w:textAlignment w:val="bottom"/>
              <w:rPr>
                <w:rFonts w:ascii="黑体" w:hAnsi="黑体" w:eastAsia="黑体"/>
              </w:rPr>
            </w:pPr>
            <w:bookmarkStart w:id="0" w:name="fhj"/>
            <w:bookmarkEnd w:id="0"/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32" w:hRule="exact"/>
        </w:trPr>
        <w:tc>
          <w:tcPr>
            <w:tcW w:w="8920" w:type="dxa"/>
            <w:gridSpan w:val="2"/>
            <w:vAlign w:val="center"/>
          </w:tcPr>
          <w:p>
            <w:pPr>
              <w:adjustRightInd w:val="0"/>
              <w:snapToGrid w:val="0"/>
              <w:spacing w:before="100" w:beforeAutospacing="1" w:after="100" w:afterAutospacing="1"/>
              <w:ind w:right="502" w:rightChars="157"/>
              <w:textAlignment w:val="bottom"/>
              <w:rPr>
                <w:rFonts w:eastAsia="黑体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180" w:hRule="atLeast"/>
        </w:trPr>
        <w:tc>
          <w:tcPr>
            <w:tcW w:w="67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beforeAutospacing="0" w:afterAutospacing="0" w:line="20" w:lineRule="atLeast"/>
              <w:ind w:left="0" w:leftChars="0"/>
              <w:jc w:val="distribute"/>
              <w:textAlignment w:val="bottom"/>
              <w:rPr>
                <w:rFonts w:hint="eastAsia" w:ascii="方正小标宋简体" w:eastAsia="方正小标宋简体" w:cs="方正小标宋简体"/>
                <w:b/>
                <w:bCs/>
                <w:color w:val="FF0000"/>
                <w:sz w:val="72"/>
                <w:szCs w:val="72"/>
              </w:rPr>
            </w:pPr>
            <w:bookmarkStart w:id="1" w:name="fhead1"/>
            <w:r>
              <w:rPr>
                <w:rFonts w:hint="eastAsia" w:ascii="方正小标宋简体" w:eastAsia="方正小标宋简体" w:cs="方正小标宋简体"/>
                <w:b/>
                <w:bCs/>
                <w:color w:val="FF0000"/>
                <w:sz w:val="72"/>
                <w:szCs w:val="72"/>
              </w:rPr>
              <w:t>福建省科学技术厅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beforeAutospacing="0" w:afterAutospacing="0" w:line="20" w:lineRule="atLeast"/>
              <w:ind w:left="0" w:leftChars="0"/>
              <w:jc w:val="distribute"/>
              <w:textAlignment w:val="bottom"/>
              <w:rPr>
                <w:rFonts w:ascii="方正小标宋简体" w:eastAsia="方正小标宋简体"/>
                <w:b/>
                <w:bCs/>
                <w:color w:val="FF0000"/>
                <w:sz w:val="72"/>
                <w:szCs w:val="72"/>
              </w:rPr>
            </w:pPr>
            <w:r>
              <w:rPr>
                <w:rFonts w:hint="eastAsia" w:ascii="方正小标宋简体" w:eastAsia="方正小标宋简体" w:cs="方正小标宋简体"/>
                <w:b/>
                <w:bCs/>
                <w:color w:val="FF0000"/>
                <w:sz w:val="72"/>
                <w:szCs w:val="72"/>
              </w:rPr>
              <w:t>福建省财政厅</w:t>
            </w:r>
            <w:bookmarkEnd w:id="1"/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beforeAutospacing="0" w:afterAutospacing="0" w:line="20" w:lineRule="atLeast"/>
              <w:ind w:left="0" w:leftChars="0"/>
              <w:jc w:val="distribute"/>
              <w:textAlignment w:val="bottom"/>
              <w:rPr>
                <w:rFonts w:hint="default" w:ascii="方正小标宋简体" w:eastAsia="方正小标宋简体"/>
                <w:b/>
                <w:bCs/>
                <w:color w:val="FF0000"/>
                <w:sz w:val="84"/>
                <w:szCs w:val="84"/>
                <w:lang w:val="en-US" w:eastAsia="zh-CN"/>
              </w:rPr>
            </w:pPr>
            <w:r>
              <w:rPr>
                <w:rFonts w:hint="eastAsia" w:ascii="方正小标宋简体" w:eastAsia="方正小标宋简体"/>
                <w:b/>
                <w:bCs/>
                <w:color w:val="FF0000"/>
                <w:w w:val="60"/>
                <w:sz w:val="84"/>
                <w:szCs w:val="84"/>
                <w:lang w:val="en-US" w:eastAsia="zh-CN"/>
              </w:rPr>
              <w:t>国家税务总局福建省税务局</w:t>
            </w:r>
          </w:p>
        </w:tc>
        <w:tc>
          <w:tcPr>
            <w:tcW w:w="221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20" w:lineRule="atLeast"/>
              <w:jc w:val="center"/>
              <w:textAlignment w:val="bottom"/>
              <w:rPr>
                <w:rFonts w:ascii="方正小标宋简体" w:eastAsia="方正小标宋简体"/>
                <w:b/>
                <w:bCs/>
                <w:sz w:val="84"/>
                <w:szCs w:val="84"/>
              </w:rPr>
            </w:pPr>
            <w:bookmarkStart w:id="2" w:name="fhead2"/>
            <w:r>
              <w:rPr>
                <w:rFonts w:hint="eastAsia" w:ascii="方正小标宋简体" w:eastAsia="方正小标宋简体" w:cs="方正小标宋简体"/>
                <w:b/>
                <w:bCs/>
                <w:color w:val="FF0000"/>
                <w:spacing w:val="52"/>
                <w:sz w:val="84"/>
                <w:szCs w:val="84"/>
              </w:rPr>
              <w:t>文件</w:t>
            </w:r>
            <w:bookmarkEnd w:id="2"/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31" w:hRule="exact"/>
        </w:trPr>
        <w:tc>
          <w:tcPr>
            <w:tcW w:w="8920" w:type="dxa"/>
            <w:gridSpan w:val="2"/>
            <w:vAlign w:val="bottom"/>
          </w:tcPr>
          <w:p>
            <w:pPr>
              <w:adjustRightInd w:val="0"/>
              <w:snapToGrid w:val="0"/>
              <w:spacing w:before="120" w:line="318" w:lineRule="atLeast"/>
              <w:ind w:right="339" w:firstLine="256" w:firstLineChars="80"/>
              <w:jc w:val="center"/>
              <w:textAlignment w:val="bottom"/>
              <w:rPr>
                <w:rFonts w:hint="eastAsia" w:ascii="仿宋" w:eastAsia="仿宋"/>
                <w:lang w:eastAsia="zh-CN"/>
              </w:rPr>
            </w:pPr>
            <w:bookmarkStart w:id="3" w:name="fwh"/>
            <w:bookmarkEnd w:id="3"/>
            <w:r>
              <w:rPr>
                <w:rFonts w:hint="eastAsia" w:ascii="仿宋"/>
                <w:lang w:eastAsia="zh-CN"/>
              </w:rPr>
              <w:t>闽科高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〔20</w:t>
            </w: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 w:ascii="仿宋" w:hAnsi="仿宋"/>
                <w:sz w:val="32"/>
                <w:szCs w:val="32"/>
                <w:lang w:eastAsia="zh-CN"/>
              </w:rPr>
              <w:t>2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〕</w:t>
            </w:r>
            <w:r>
              <w:rPr>
                <w:rFonts w:hint="default" w:ascii="仿宋" w:hAnsi="仿宋"/>
                <w:sz w:val="32"/>
                <w:szCs w:val="32"/>
                <w:lang w:eastAsia="zh-CN"/>
              </w:rPr>
              <w:t xml:space="preserve"> 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号</w:t>
            </w:r>
          </w:p>
          <w:p>
            <w:pPr>
              <w:adjustRightInd w:val="0"/>
              <w:snapToGrid w:val="0"/>
              <w:spacing w:before="120" w:line="318" w:lineRule="atLeast"/>
              <w:ind w:right="339" w:firstLine="256" w:firstLineChars="80"/>
              <w:jc w:val="center"/>
              <w:textAlignment w:val="bottom"/>
              <w:rPr>
                <w:rFonts w:ascii="仿宋"/>
              </w:rPr>
            </w:pPr>
          </w:p>
          <w:p>
            <w:pPr>
              <w:adjustRightInd w:val="0"/>
              <w:snapToGrid w:val="0"/>
              <w:spacing w:before="120" w:line="318" w:lineRule="atLeast"/>
              <w:ind w:right="339" w:firstLine="256" w:firstLineChars="80"/>
              <w:jc w:val="center"/>
              <w:textAlignment w:val="bottom"/>
              <w:rPr>
                <w:rFonts w:ascii="仿宋"/>
              </w:rPr>
            </w:pPr>
          </w:p>
          <w:p>
            <w:pPr>
              <w:adjustRightInd w:val="0"/>
              <w:snapToGrid w:val="0"/>
              <w:spacing w:before="120" w:line="318" w:lineRule="atLeast"/>
              <w:ind w:right="339" w:firstLine="256" w:firstLineChars="80"/>
              <w:jc w:val="center"/>
              <w:textAlignment w:val="bottom"/>
              <w:rPr>
                <w:rFonts w:ascii="仿宋"/>
              </w:rPr>
            </w:pPr>
          </w:p>
          <w:p>
            <w:pPr>
              <w:adjustRightInd w:val="0"/>
              <w:snapToGrid w:val="0"/>
              <w:spacing w:before="120" w:line="318" w:lineRule="atLeast"/>
              <w:ind w:right="339" w:firstLine="256" w:firstLineChars="80"/>
              <w:jc w:val="center"/>
              <w:textAlignment w:val="bottom"/>
              <w:rPr>
                <w:rFonts w:ascii="仿宋"/>
              </w:rPr>
            </w:pPr>
          </w:p>
          <w:p>
            <w:pPr>
              <w:adjustRightInd w:val="0"/>
              <w:snapToGrid w:val="0"/>
              <w:spacing w:before="120" w:line="318" w:lineRule="atLeast"/>
              <w:ind w:right="339" w:firstLine="256" w:firstLineChars="80"/>
              <w:jc w:val="center"/>
              <w:textAlignment w:val="bottom"/>
              <w:rPr>
                <w:rFonts w:ascii="仿宋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2" w:hRule="exact"/>
        </w:trPr>
        <w:tc>
          <w:tcPr>
            <w:tcW w:w="8920" w:type="dxa"/>
            <w:gridSpan w:val="2"/>
            <w:vAlign w:val="top"/>
          </w:tcPr>
          <w:p>
            <w:pPr>
              <w:adjustRightInd w:val="0"/>
              <w:snapToGrid w:val="0"/>
              <w:spacing w:line="240" w:lineRule="exact"/>
              <w:jc w:val="center"/>
              <w:rPr>
                <w:rFonts w:ascii="仿宋"/>
                <w:sz w:val="10"/>
                <w:szCs w:val="10"/>
              </w:rPr>
            </w:pPr>
            <w:bookmarkStart w:id="4" w:name="fline"/>
            <w: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>
                      <wp:simplePos x="0" y="0"/>
                      <wp:positionH relativeFrom="column">
                        <wp:posOffset>-32385</wp:posOffset>
                      </wp:positionH>
                      <wp:positionV relativeFrom="paragraph">
                        <wp:posOffset>39370</wp:posOffset>
                      </wp:positionV>
                      <wp:extent cx="5601335" cy="0"/>
                      <wp:effectExtent l="0" t="19050" r="12065" b="31750"/>
                      <wp:wrapTight wrapText="bothSides">
                        <wp:wrapPolygon>
                          <wp:start x="0" y="0"/>
                          <wp:lineTo x="0" y="0"/>
                          <wp:lineTo x="21549" y="0"/>
                          <wp:lineTo x="21549" y="0"/>
                          <wp:lineTo x="0" y="0"/>
                        </wp:wrapPolygon>
                      </wp:wrapTight>
                      <wp:docPr id="1" name="直线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601335" cy="0"/>
                              </a:xfrm>
                              <a:prstGeom prst="line">
                                <a:avLst/>
                              </a:prstGeom>
                              <a:ln w="38100" cap="flat" cmpd="sng">
                                <a:solidFill>
                                  <a:srgbClr val="FF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直线 4" o:spid="_x0000_s1026" o:spt="20" style="position:absolute;left:0pt;margin-left:-2.55pt;margin-top:3.1pt;height:0pt;width:441.05pt;mso-wrap-distance-left:9pt;mso-wrap-distance-right:9pt;z-index:-251656192;mso-width-relative:page;mso-height-relative:page;" filled="f" stroked="t" coordsize="21600,21600" wrapcoords="0 0 0 0 21549 0 21549 0 0 0" o:gfxdata="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WmwzutgAAAAGAQAADwAAAAAAAAABACAAAAAiAAAAZHJzL2Rvd25yZXYueG1sUEsBAhQAFAAAAAgA&#10;h07iQN+h76jsAQAA3AMAAA4AAAAAAAAAAQAgAAAAJwEAAGRycy9lMm9Eb2MueG1sUEsFBgAAAAAG&#10;AAYAWQEAAIUFAAAAAA==&#10;">
                      <v:fill on="f" focussize="0,0"/>
                      <v:stroke weight="3pt" color="#FF0000" joinstyle="round"/>
                      <v:imagedata o:title=""/>
                      <o:lock v:ext="edit" aspectratio="f"/>
                      <w10:wrap type="tight"/>
                    </v:line>
                  </w:pict>
                </mc:Fallback>
              </mc:AlternateContent>
            </w:r>
            <w:bookmarkEnd w:id="4"/>
          </w:p>
        </w:tc>
      </w:tr>
    </w:tbl>
    <w:p>
      <w:pPr>
        <w:keepNext w:val="0"/>
        <w:keepLines w:val="0"/>
        <w:pageBreakBefore w:val="0"/>
        <w:widowControl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textAlignment w:val="auto"/>
        <w:outlineLvl w:val="9"/>
        <w:rPr>
          <w:rFonts w:hint="eastAsia" w:ascii="仿宋" w:hAnsi="仿宋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0" w:firstLineChars="0"/>
        <w:contextualSpacing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福建省科学技术厅 福建省财政厅</w:t>
      </w: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0" w:firstLineChars="0"/>
        <w:contextualSpacing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国家税务总局福建省税务局关于</w:t>
      </w: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0" w:firstLineChars="0"/>
        <w:contextualSpacing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公示福建省20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2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一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批</w:t>
      </w: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0" w:firstLineChars="0"/>
        <w:contextualSpacing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拟更名高新技术企业</w:t>
      </w: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0" w:firstLineChars="0"/>
        <w:contextualSpacing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名单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的通知</w:t>
      </w: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880" w:firstLineChars="200"/>
        <w:contextualSpacing/>
        <w:jc w:val="both"/>
        <w:textAlignment w:val="auto"/>
        <w:outlineLvl w:val="9"/>
        <w:rPr>
          <w:rFonts w:ascii="仿宋" w:hAnsi="仿宋" w:eastAsia="仿宋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0" w:firstLineChars="0"/>
        <w:contextualSpacing/>
        <w:jc w:val="both"/>
        <w:textAlignment w:val="auto"/>
        <w:outlineLvl w:val="9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各有关单位：</w:t>
      </w:r>
    </w:p>
    <w:p>
      <w:pPr>
        <w:keepNext w:val="0"/>
        <w:keepLines w:val="0"/>
        <w:pageBreakBefore w:val="0"/>
        <w:widowControl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both"/>
        <w:textAlignment w:val="auto"/>
        <w:outlineLvl w:val="9"/>
        <w:rPr>
          <w:rFonts w:hint="eastAsia" w:ascii="仿宋" w:hAnsi="仿宋" w:eastAsia="仿宋" w:cs="宋体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根据《高新技术企业认定管理办法》(国科发火〔2016〕32号)和《高新技术企业认定管理工作指引</w:t>
      </w:r>
      <w:r>
        <w:rPr>
          <w:rFonts w:hint="eastAsia" w:ascii="仿宋" w:hAnsi="仿宋" w:eastAsia="仿宋"/>
          <w:sz w:val="32"/>
          <w:szCs w:val="32"/>
          <w:lang w:eastAsia="zh-CN"/>
        </w:rPr>
        <w:t>》</w:t>
      </w:r>
      <w:r>
        <w:rPr>
          <w:rFonts w:hint="eastAsia" w:ascii="仿宋" w:hAnsi="仿宋" w:eastAsia="仿宋"/>
          <w:sz w:val="32"/>
          <w:szCs w:val="32"/>
        </w:rPr>
        <w:t>（国科发火〔2016〕195号)的有关规定，现对福建省20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hint="default" w:ascii="仿宋" w:hAnsi="仿宋"/>
          <w:sz w:val="32"/>
          <w:szCs w:val="32"/>
          <w:lang w:eastAsia="zh-CN"/>
        </w:rPr>
        <w:t>2</w:t>
      </w:r>
      <w:r>
        <w:rPr>
          <w:rFonts w:hint="eastAsia" w:ascii="仿宋" w:hAnsi="仿宋" w:eastAsia="仿宋"/>
          <w:sz w:val="32"/>
          <w:szCs w:val="32"/>
        </w:rPr>
        <w:t>年第</w:t>
      </w:r>
      <w:r>
        <w:rPr>
          <w:rFonts w:hint="eastAsia" w:ascii="仿宋" w:hAnsi="仿宋" w:eastAsia="仿宋"/>
          <w:sz w:val="32"/>
          <w:szCs w:val="32"/>
          <w:lang w:eastAsia="zh-CN"/>
        </w:rPr>
        <w:t>一</w:t>
      </w:r>
      <w:r>
        <w:rPr>
          <w:rFonts w:hint="eastAsia" w:ascii="仿宋" w:hAnsi="仿宋" w:eastAsia="仿宋"/>
          <w:sz w:val="32"/>
          <w:szCs w:val="32"/>
        </w:rPr>
        <w:t>批拟更名的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64</w:t>
      </w:r>
      <w:r>
        <w:rPr>
          <w:rFonts w:hint="eastAsia" w:ascii="仿宋" w:hAnsi="仿宋" w:eastAsia="仿宋"/>
          <w:sz w:val="32"/>
          <w:szCs w:val="32"/>
        </w:rPr>
        <w:t>家高新技术企业(名单见附件)予以公示，公示时间自20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hint="default" w:ascii="仿宋" w:hAnsi="仿宋"/>
          <w:sz w:val="32"/>
          <w:szCs w:val="32"/>
          <w:lang w:eastAsia="zh-CN"/>
        </w:rPr>
        <w:t>2</w:t>
      </w:r>
      <w:r>
        <w:rPr>
          <w:rFonts w:hint="eastAsia" w:ascii="仿宋" w:hAnsi="仿宋" w:eastAsia="仿宋"/>
          <w:sz w:val="32"/>
          <w:szCs w:val="32"/>
        </w:rPr>
        <w:t>年</w:t>
      </w:r>
      <w:r>
        <w:rPr>
          <w:rFonts w:hint="eastAsia" w:ascii="仿宋" w:hAnsi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/>
          <w:sz w:val="32"/>
          <w:szCs w:val="32"/>
        </w:rPr>
        <w:t>日至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/>
          <w:sz w:val="32"/>
          <w:szCs w:val="32"/>
          <w:highlight w:val="none"/>
          <w:lang w:val="en-US" w:eastAsia="zh-CN"/>
        </w:rPr>
        <w:t>18</w:t>
      </w:r>
      <w:r>
        <w:rPr>
          <w:rFonts w:hint="eastAsia" w:ascii="仿宋" w:hAnsi="仿宋" w:eastAsia="仿宋"/>
          <w:sz w:val="32"/>
          <w:szCs w:val="32"/>
        </w:rPr>
        <w:t>日。任何单位或个人如对公示企业持有异议，均可在公示期内</w:t>
      </w:r>
      <w:r>
        <w:rPr>
          <w:rFonts w:ascii="仿宋" w:hAnsi="仿宋" w:eastAsia="仿宋" w:cs="宋体"/>
          <w:sz w:val="32"/>
          <w:szCs w:val="32"/>
        </w:rPr>
        <w:t>以书面形式向福建省高新技术企业认定管理</w:t>
      </w:r>
      <w:r>
        <w:rPr>
          <w:rFonts w:hint="eastAsia" w:ascii="仿宋" w:hAnsi="仿宋" w:eastAsia="仿宋" w:cs="宋体"/>
          <w:sz w:val="32"/>
          <w:szCs w:val="32"/>
          <w:lang w:eastAsia="zh-CN"/>
        </w:rPr>
        <w:t>工作</w:t>
      </w:r>
      <w:r>
        <w:rPr>
          <w:rFonts w:ascii="仿宋" w:hAnsi="仿宋" w:eastAsia="仿宋" w:cs="宋体"/>
          <w:sz w:val="32"/>
          <w:szCs w:val="32"/>
        </w:rPr>
        <w:t>领导小组办公室提出异议申请，</w:t>
      </w:r>
      <w:r>
        <w:rPr>
          <w:rFonts w:hint="eastAsia" w:ascii="仿宋" w:hAnsi="仿宋" w:eastAsia="仿宋" w:cs="宋体"/>
          <w:sz w:val="32"/>
          <w:szCs w:val="32"/>
        </w:rPr>
        <w:t>清楚描述</w:t>
      </w:r>
      <w:r>
        <w:rPr>
          <w:rFonts w:ascii="仿宋" w:hAnsi="仿宋" w:eastAsia="仿宋" w:cs="宋体"/>
          <w:sz w:val="32"/>
          <w:szCs w:val="32"/>
        </w:rPr>
        <w:t>该企业存在的不符合高新技术企业条件</w:t>
      </w:r>
      <w:r>
        <w:rPr>
          <w:rFonts w:hint="eastAsia" w:ascii="仿宋" w:hAnsi="仿宋" w:eastAsia="仿宋" w:cs="宋体"/>
          <w:sz w:val="32"/>
          <w:szCs w:val="32"/>
        </w:rPr>
        <w:t>的具体理由并尽可能提供事实依据。</w:t>
      </w:r>
      <w:r>
        <w:rPr>
          <w:rFonts w:ascii="仿宋" w:hAnsi="仿宋" w:eastAsia="仿宋" w:cs="宋体"/>
          <w:sz w:val="32"/>
          <w:szCs w:val="32"/>
        </w:rPr>
        <w:t>以个人</w:t>
      </w:r>
      <w:r>
        <w:rPr>
          <w:rFonts w:hint="eastAsia" w:ascii="仿宋" w:hAnsi="仿宋" w:eastAsia="仿宋" w:cs="宋体"/>
          <w:sz w:val="32"/>
          <w:szCs w:val="32"/>
        </w:rPr>
        <w:t>名义提出异议的，</w:t>
      </w:r>
      <w:r>
        <w:rPr>
          <w:rFonts w:ascii="仿宋" w:hAnsi="仿宋" w:eastAsia="仿宋" w:cs="宋体"/>
          <w:sz w:val="32"/>
          <w:szCs w:val="32"/>
        </w:rPr>
        <w:t>请注明异议人真实姓名、所在单位、详细地址和联系方式</w:t>
      </w:r>
      <w:r>
        <w:rPr>
          <w:rFonts w:hint="eastAsia" w:ascii="仿宋" w:hAnsi="仿宋" w:eastAsia="仿宋" w:cs="Batang"/>
          <w:sz w:val="32"/>
          <w:szCs w:val="32"/>
        </w:rPr>
        <w:t>；以单位名义提出异议的，请</w:t>
      </w:r>
      <w:r>
        <w:rPr>
          <w:rFonts w:ascii="仿宋" w:hAnsi="仿宋" w:eastAsia="仿宋" w:cs="宋体"/>
          <w:sz w:val="32"/>
          <w:szCs w:val="32"/>
        </w:rPr>
        <w:t>加</w:t>
      </w:r>
      <w:r>
        <w:rPr>
          <w:rFonts w:hint="eastAsia" w:ascii="仿宋" w:hAnsi="仿宋" w:eastAsia="仿宋" w:cs="宋体"/>
          <w:sz w:val="32"/>
          <w:szCs w:val="32"/>
        </w:rPr>
        <w:t>盖</w:t>
      </w:r>
      <w:r>
        <w:rPr>
          <w:rFonts w:ascii="仿宋" w:hAnsi="仿宋" w:eastAsia="仿宋" w:cs="宋体"/>
          <w:sz w:val="32"/>
          <w:szCs w:val="32"/>
        </w:rPr>
        <w:t>单位公章并注明联系人、联系地址和联系方式。对收到的异议我们将严格按相关规定办理。凡</w:t>
      </w:r>
      <w:r>
        <w:rPr>
          <w:rFonts w:hint="eastAsia" w:ascii="仿宋" w:hAnsi="仿宋" w:eastAsia="仿宋" w:cs="宋体"/>
          <w:sz w:val="32"/>
          <w:szCs w:val="32"/>
        </w:rPr>
        <w:t>匿名异议或无</w:t>
      </w:r>
      <w:r>
        <w:rPr>
          <w:rFonts w:ascii="仿宋" w:hAnsi="仿宋" w:eastAsia="仿宋" w:cs="宋体"/>
          <w:sz w:val="32"/>
          <w:szCs w:val="32"/>
        </w:rPr>
        <w:t>具体理由的异议均不予受理</w:t>
      </w:r>
      <w:r>
        <w:rPr>
          <w:rFonts w:hint="eastAsia" w:ascii="仿宋" w:hAnsi="仿宋" w:eastAsia="仿宋" w:cs="宋体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both"/>
        <w:textAlignment w:val="auto"/>
        <w:outlineLvl w:val="9"/>
        <w:rPr>
          <w:rFonts w:hint="eastAsia" w:ascii="仿宋" w:hAnsi="仿宋" w:eastAsia="仿宋" w:cs="宋体"/>
          <w:sz w:val="32"/>
          <w:szCs w:val="32"/>
        </w:rPr>
      </w:pPr>
      <w:r>
        <w:rPr>
          <w:rFonts w:ascii="仿宋" w:hAnsi="仿宋" w:eastAsia="仿宋" w:cs="宋体"/>
          <w:sz w:val="32"/>
          <w:szCs w:val="32"/>
        </w:rPr>
        <w:t>异议受理单位:福建省高新技术企业认定管理</w:t>
      </w:r>
      <w:r>
        <w:rPr>
          <w:rFonts w:hint="eastAsia" w:ascii="仿宋" w:hAnsi="仿宋" w:eastAsia="仿宋" w:cs="宋体"/>
          <w:sz w:val="32"/>
          <w:szCs w:val="32"/>
          <w:lang w:eastAsia="zh-CN"/>
        </w:rPr>
        <w:t>工作</w:t>
      </w:r>
      <w:r>
        <w:rPr>
          <w:rFonts w:ascii="仿宋" w:hAnsi="仿宋" w:eastAsia="仿宋" w:cs="宋体"/>
          <w:sz w:val="32"/>
          <w:szCs w:val="32"/>
        </w:rPr>
        <w:t>领导小组办公室(设在省科技厅高新处</w:t>
      </w:r>
      <w:r>
        <w:rPr>
          <w:rFonts w:hint="eastAsia" w:ascii="仿宋" w:hAnsi="仿宋" w:eastAsia="仿宋" w:cs="宋体"/>
          <w:sz w:val="32"/>
          <w:szCs w:val="32"/>
        </w:rPr>
        <w:t>)。</w:t>
      </w:r>
      <w:r>
        <w:rPr>
          <w:rFonts w:ascii="仿宋" w:hAnsi="仿宋" w:eastAsia="仿宋" w:cs="宋体"/>
          <w:sz w:val="32"/>
          <w:szCs w:val="32"/>
        </w:rPr>
        <w:t>通讯地址:福州市</w:t>
      </w:r>
      <w:r>
        <w:rPr>
          <w:rFonts w:hint="eastAsia" w:ascii="仿宋" w:hAnsi="仿宋" w:eastAsia="仿宋" w:cs="宋体"/>
          <w:sz w:val="32"/>
          <w:szCs w:val="32"/>
          <w:lang w:eastAsia="zh-CN"/>
        </w:rPr>
        <w:t>鼓楼区</w:t>
      </w:r>
      <w:r>
        <w:rPr>
          <w:rFonts w:ascii="仿宋" w:hAnsi="仿宋" w:eastAsia="仿宋" w:cs="宋体"/>
          <w:sz w:val="32"/>
          <w:szCs w:val="32"/>
        </w:rPr>
        <w:t>北环西路</w:t>
      </w:r>
      <w:r>
        <w:rPr>
          <w:rFonts w:hint="eastAsia" w:ascii="仿宋" w:hAnsi="仿宋" w:eastAsia="仿宋" w:cs="宋体"/>
          <w:sz w:val="32"/>
          <w:szCs w:val="32"/>
        </w:rPr>
        <w:t>122</w:t>
      </w:r>
      <w:r>
        <w:rPr>
          <w:rFonts w:ascii="仿宋" w:hAnsi="仿宋" w:eastAsia="仿宋" w:cs="宋体"/>
          <w:sz w:val="32"/>
          <w:szCs w:val="32"/>
        </w:rPr>
        <w:t>号科技大厦省科技厅高新处(邮编:350003</w:t>
      </w:r>
      <w:r>
        <w:rPr>
          <w:rFonts w:hint="eastAsia" w:ascii="仿宋" w:hAnsi="仿宋" w:eastAsia="仿宋" w:cs="宋体"/>
          <w:sz w:val="32"/>
          <w:szCs w:val="32"/>
        </w:rPr>
        <w:t>)。</w:t>
      </w:r>
    </w:p>
    <w:p>
      <w:pPr>
        <w:keepNext w:val="0"/>
        <w:keepLines w:val="0"/>
        <w:pageBreakBefore w:val="0"/>
        <w:widowControl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both"/>
        <w:textAlignment w:val="auto"/>
        <w:outlineLvl w:val="9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省</w:t>
      </w:r>
      <w:r>
        <w:rPr>
          <w:rFonts w:ascii="仿宋" w:hAnsi="仿宋" w:eastAsia="仿宋" w:cs="宋体"/>
          <w:sz w:val="32"/>
          <w:szCs w:val="32"/>
        </w:rPr>
        <w:t>科技厅高新处，联系电话</w:t>
      </w:r>
      <w:r>
        <w:rPr>
          <w:rFonts w:hint="eastAsia" w:ascii="仿宋" w:hAnsi="仿宋" w:eastAsia="仿宋" w:cs="宋体"/>
          <w:sz w:val="32"/>
          <w:szCs w:val="32"/>
          <w:lang w:eastAsia="zh-CN"/>
        </w:rPr>
        <w:t>：</w:t>
      </w:r>
      <w:r>
        <w:rPr>
          <w:rFonts w:ascii="仿宋" w:hAnsi="仿宋" w:eastAsia="仿宋" w:cs="宋体"/>
          <w:sz w:val="32"/>
          <w:szCs w:val="32"/>
        </w:rPr>
        <w:t>0591-87</w:t>
      </w:r>
      <w:r>
        <w:rPr>
          <w:rFonts w:hint="eastAsia" w:ascii="仿宋" w:hAnsi="仿宋" w:eastAsia="仿宋" w:cs="宋体"/>
          <w:sz w:val="32"/>
          <w:szCs w:val="32"/>
        </w:rPr>
        <w:t>881523</w:t>
      </w:r>
      <w:bookmarkStart w:id="5" w:name="_GoBack"/>
      <w:bookmarkEnd w:id="5"/>
      <w:r>
        <w:rPr>
          <w:rFonts w:ascii="仿宋" w:hAnsi="仿宋" w:eastAsia="仿宋" w:cs="宋体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both"/>
        <w:textAlignment w:val="auto"/>
        <w:outlineLvl w:val="9"/>
        <w:rPr>
          <w:rFonts w:hint="eastAsia" w:ascii="仿宋" w:hAnsi="仿宋" w:eastAsia="仿宋" w:cs="宋体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both"/>
        <w:textAlignment w:val="auto"/>
        <w:outlineLvl w:val="9"/>
        <w:rPr>
          <w:rFonts w:hint="eastAsia" w:ascii="仿宋" w:hAnsi="仿宋" w:eastAsia="仿宋" w:cs="宋体"/>
          <w:spacing w:val="0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spacing w:val="0"/>
          <w:sz w:val="32"/>
          <w:szCs w:val="32"/>
        </w:rPr>
        <w:t>附件:福建省20</w:t>
      </w:r>
      <w:r>
        <w:rPr>
          <w:rFonts w:hint="eastAsia" w:ascii="仿宋" w:hAnsi="仿宋" w:eastAsia="仿宋" w:cs="宋体"/>
          <w:spacing w:val="0"/>
          <w:sz w:val="32"/>
          <w:szCs w:val="32"/>
          <w:lang w:val="en-US" w:eastAsia="zh-CN"/>
        </w:rPr>
        <w:t>2</w:t>
      </w:r>
      <w:r>
        <w:rPr>
          <w:rFonts w:hint="default" w:ascii="仿宋" w:hAnsi="仿宋" w:cs="宋体"/>
          <w:spacing w:val="0"/>
          <w:sz w:val="32"/>
          <w:szCs w:val="32"/>
          <w:lang w:eastAsia="zh-CN"/>
        </w:rPr>
        <w:t>2</w:t>
      </w:r>
      <w:r>
        <w:rPr>
          <w:rFonts w:hint="eastAsia" w:ascii="仿宋" w:hAnsi="仿宋" w:eastAsia="仿宋" w:cs="宋体"/>
          <w:spacing w:val="0"/>
          <w:sz w:val="32"/>
          <w:szCs w:val="32"/>
        </w:rPr>
        <w:t>年</w:t>
      </w:r>
      <w:r>
        <w:rPr>
          <w:rFonts w:hint="eastAsia" w:ascii="仿宋" w:hAnsi="仿宋" w:eastAsia="仿宋" w:cs="宋体"/>
          <w:spacing w:val="0"/>
          <w:sz w:val="32"/>
          <w:szCs w:val="32"/>
          <w:lang w:eastAsia="zh-CN"/>
        </w:rPr>
        <w:t>度</w:t>
      </w:r>
      <w:r>
        <w:rPr>
          <w:rFonts w:hint="eastAsia" w:ascii="仿宋" w:hAnsi="仿宋" w:eastAsia="仿宋" w:cs="宋体"/>
          <w:spacing w:val="0"/>
          <w:sz w:val="32"/>
          <w:szCs w:val="32"/>
        </w:rPr>
        <w:t>第</w:t>
      </w:r>
      <w:r>
        <w:rPr>
          <w:rFonts w:hint="eastAsia" w:ascii="仿宋" w:hAnsi="仿宋" w:eastAsia="仿宋" w:cs="宋体"/>
          <w:spacing w:val="0"/>
          <w:sz w:val="32"/>
          <w:szCs w:val="32"/>
          <w:lang w:eastAsia="zh-CN"/>
        </w:rPr>
        <w:t>一</w:t>
      </w:r>
      <w:r>
        <w:rPr>
          <w:rFonts w:hint="eastAsia" w:ascii="仿宋" w:hAnsi="仿宋" w:eastAsia="仿宋" w:cs="宋体"/>
          <w:spacing w:val="0"/>
          <w:sz w:val="32"/>
          <w:szCs w:val="32"/>
        </w:rPr>
        <w:t>批拟更名高新技术企业名</w:t>
      </w:r>
      <w:r>
        <w:rPr>
          <w:rFonts w:hint="eastAsia" w:ascii="仿宋" w:hAnsi="仿宋" w:cs="宋体"/>
          <w:spacing w:val="0"/>
          <w:sz w:val="32"/>
          <w:szCs w:val="32"/>
          <w:lang w:eastAsia="zh-CN"/>
        </w:rPr>
        <w:t>单</w:t>
      </w: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both"/>
        <w:textAlignment w:val="auto"/>
        <w:outlineLvl w:val="9"/>
        <w:rPr>
          <w:rFonts w:hint="eastAsia" w:ascii="仿宋" w:hAnsi="仿宋" w:eastAsia="仿宋" w:cs="宋体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both"/>
        <w:textAlignment w:val="auto"/>
        <w:outlineLvl w:val="9"/>
        <w:rPr>
          <w:rFonts w:hint="eastAsia" w:ascii="仿宋" w:hAnsi="仿宋" w:eastAsia="仿宋" w:cs="宋体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both"/>
        <w:textAlignment w:val="auto"/>
        <w:outlineLvl w:val="9"/>
        <w:rPr>
          <w:rFonts w:hint="eastAsia" w:ascii="仿宋" w:hAnsi="仿宋" w:eastAsia="仿宋" w:cs="宋体"/>
          <w:spacing w:val="0"/>
          <w:w w:val="1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0" w:firstLineChars="0"/>
        <w:contextualSpacing/>
        <w:jc w:val="both"/>
        <w:textAlignment w:val="auto"/>
        <w:outlineLvl w:val="9"/>
        <w:rPr>
          <w:rFonts w:hint="eastAsia" w:ascii="仿宋" w:hAnsi="仿宋" w:eastAsia="仿宋" w:cs="宋体"/>
          <w:spacing w:val="-11"/>
          <w:w w:val="100"/>
          <w:sz w:val="32"/>
          <w:szCs w:val="32"/>
        </w:rPr>
      </w:pPr>
      <w:r>
        <w:rPr>
          <w:rFonts w:hint="eastAsia" w:ascii="仿宋" w:hAnsi="仿宋" w:eastAsia="仿宋" w:cs="宋体"/>
          <w:spacing w:val="-11"/>
          <w:w w:val="100"/>
          <w:sz w:val="32"/>
          <w:szCs w:val="32"/>
        </w:rPr>
        <w:t xml:space="preserve">福建省科学技术厅 </w:t>
      </w:r>
      <w:r>
        <w:rPr>
          <w:rFonts w:hint="eastAsia" w:ascii="仿宋" w:hAnsi="仿宋" w:cs="宋体"/>
          <w:spacing w:val="-11"/>
          <w:w w:val="10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宋体"/>
          <w:spacing w:val="-11"/>
          <w:w w:val="100"/>
          <w:sz w:val="32"/>
          <w:szCs w:val="32"/>
        </w:rPr>
        <w:t>福建省财政厅</w:t>
      </w:r>
      <w:r>
        <w:rPr>
          <w:rFonts w:hint="eastAsia" w:ascii="仿宋" w:hAnsi="仿宋" w:cs="宋体"/>
          <w:spacing w:val="-11"/>
          <w:w w:val="100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宋体"/>
          <w:spacing w:val="-11"/>
          <w:w w:val="100"/>
          <w:sz w:val="32"/>
          <w:szCs w:val="32"/>
        </w:rPr>
        <w:t>国家税务总局福建省税务局</w:t>
      </w:r>
    </w:p>
    <w:p>
      <w:pPr>
        <w:keepNext w:val="0"/>
        <w:keepLines w:val="0"/>
        <w:pageBreakBefore w:val="0"/>
        <w:widowControl w:val="0"/>
        <w:suppressLineNumbers w:val="0"/>
        <w:kinsoku/>
        <w:wordWrap w:val="0"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right"/>
        <w:textAlignment w:val="auto"/>
        <w:outlineLvl w:val="9"/>
        <w:rPr>
          <w:rFonts w:hint="default" w:ascii="仿宋" w:hAnsi="仿宋" w:eastAsia="仿宋" w:cs="宋体"/>
          <w:sz w:val="32"/>
          <w:szCs w:val="32"/>
          <w:lang w:val="en"/>
        </w:rPr>
      </w:pPr>
      <w:r>
        <w:rPr>
          <w:rFonts w:ascii="仿宋" w:hAnsi="仿宋" w:eastAsia="仿宋" w:cs="宋体"/>
          <w:sz w:val="32"/>
          <w:szCs w:val="32"/>
        </w:rPr>
        <w:t>20</w:t>
      </w:r>
      <w:r>
        <w:rPr>
          <w:rFonts w:hint="eastAsia" w:ascii="仿宋" w:hAnsi="仿宋" w:eastAsia="仿宋" w:cs="宋体"/>
          <w:sz w:val="32"/>
          <w:szCs w:val="32"/>
          <w:lang w:val="en-US" w:eastAsia="zh-CN"/>
        </w:rPr>
        <w:t>2</w:t>
      </w:r>
      <w:r>
        <w:rPr>
          <w:rFonts w:hint="default" w:ascii="仿宋" w:hAnsi="仿宋" w:cs="宋体"/>
          <w:sz w:val="32"/>
          <w:szCs w:val="32"/>
          <w:lang w:eastAsia="zh-CN"/>
        </w:rPr>
        <w:t>2</w:t>
      </w:r>
      <w:r>
        <w:rPr>
          <w:rFonts w:ascii="仿宋" w:hAnsi="仿宋" w:eastAsia="仿宋" w:cs="宋体"/>
          <w:sz w:val="32"/>
          <w:szCs w:val="32"/>
        </w:rPr>
        <w:t>年</w:t>
      </w:r>
      <w:r>
        <w:rPr>
          <w:rFonts w:hint="eastAsia" w:ascii="仿宋" w:hAnsi="仿宋" w:cs="宋体"/>
          <w:sz w:val="32"/>
          <w:szCs w:val="32"/>
          <w:lang w:val="en-US" w:eastAsia="zh-CN"/>
        </w:rPr>
        <w:t>7</w:t>
      </w:r>
      <w:r>
        <w:rPr>
          <w:rFonts w:ascii="仿宋" w:hAnsi="仿宋" w:eastAsia="仿宋" w:cs="宋体"/>
          <w:sz w:val="32"/>
          <w:szCs w:val="32"/>
        </w:rPr>
        <w:t>月</w:t>
      </w:r>
      <w:r>
        <w:rPr>
          <w:rFonts w:hint="eastAsia" w:ascii="仿宋" w:hAnsi="仿宋" w:cs="宋体"/>
          <w:sz w:val="32"/>
          <w:szCs w:val="32"/>
          <w:lang w:val="en-US" w:eastAsia="zh-CN"/>
        </w:rPr>
        <w:t>1</w:t>
      </w:r>
      <w:r>
        <w:rPr>
          <w:rFonts w:ascii="仿宋" w:hAnsi="仿宋" w:eastAsia="仿宋" w:cs="宋体"/>
          <w:sz w:val="32"/>
          <w:szCs w:val="32"/>
        </w:rPr>
        <w:t>日</w:t>
      </w:r>
      <w:r>
        <w:rPr>
          <w:rFonts w:hint="default" w:ascii="仿宋" w:hAnsi="仿宋" w:cs="宋体"/>
          <w:sz w:val="32"/>
          <w:szCs w:val="32"/>
          <w:lang w:val="en"/>
        </w:rPr>
        <w:t xml:space="preserve">    </w:t>
      </w:r>
    </w:p>
    <w:p>
      <w:pPr>
        <w:keepNext w:val="0"/>
        <w:keepLines w:val="0"/>
        <w:pageBreakBefore w:val="0"/>
        <w:widowControl w:val="0"/>
        <w:suppressLineNumbers w:val="0"/>
        <w:kinsoku/>
        <w:overflowPunct w:val="0"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640" w:firstLineChars="200"/>
        <w:contextualSpacing/>
        <w:jc w:val="both"/>
        <w:textAlignment w:val="auto"/>
        <w:outlineLvl w:val="9"/>
        <w:rPr>
          <w:rFonts w:ascii="仿宋" w:hAnsi="仿宋" w:eastAsia="仿宋" w:cs="宋体"/>
          <w:sz w:val="32"/>
          <w:szCs w:val="32"/>
        </w:rPr>
      </w:pPr>
      <w:r>
        <w:rPr>
          <w:rFonts w:ascii="仿宋" w:hAnsi="仿宋" w:eastAsia="仿宋" w:cs="宋体"/>
          <w:sz w:val="32"/>
          <w:szCs w:val="32"/>
        </w:rPr>
        <w:t>(此件主动公开)</w:t>
      </w:r>
    </w:p>
    <w:p>
      <w:pPr>
        <w:overflowPunct w:val="0"/>
        <w:autoSpaceDE w:val="0"/>
        <w:autoSpaceDN w:val="0"/>
        <w:spacing w:line="600" w:lineRule="exact"/>
        <w:ind w:firstLine="0" w:firstLineChars="0"/>
        <w:contextualSpacing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overflowPunct w:val="0"/>
        <w:autoSpaceDE w:val="0"/>
        <w:autoSpaceDN w:val="0"/>
        <w:spacing w:line="600" w:lineRule="exact"/>
        <w:ind w:firstLine="0" w:firstLineChars="0"/>
        <w:contextualSpacing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jc w:val="center"/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</w:rPr>
        <w:t>福建省20</w:t>
      </w: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val="en-US" w:eastAsia="zh-CN"/>
        </w:rPr>
        <w:t>2</w:t>
      </w: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eastAsia="zh-CN"/>
        </w:rPr>
        <w:t>2</w:t>
      </w: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</w:rPr>
        <w:t>年</w:t>
      </w: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eastAsia="zh-CN"/>
        </w:rPr>
        <w:t>度</w:t>
      </w: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</w:rPr>
        <w:t>第</w:t>
      </w: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  <w:lang w:eastAsia="zh-CN"/>
        </w:rPr>
        <w:t>一</w:t>
      </w:r>
      <w:r>
        <w:rPr>
          <w:rFonts w:hint="eastAsia" w:asciiTheme="majorEastAsia" w:hAnsiTheme="majorEastAsia" w:eastAsiaTheme="majorEastAsia" w:cstheme="majorEastAsia"/>
          <w:b/>
          <w:bCs w:val="0"/>
          <w:sz w:val="36"/>
          <w:szCs w:val="36"/>
        </w:rPr>
        <w:t>批拟更名高新技术企业名单</w:t>
      </w:r>
    </w:p>
    <w:p>
      <w:pPr>
        <w:jc w:val="center"/>
        <w:rPr>
          <w:rFonts w:hint="eastAsia" w:ascii="宋体" w:hAnsi="宋体" w:eastAsia="宋体"/>
          <w:b/>
          <w:sz w:val="36"/>
          <w:szCs w:val="36"/>
        </w:rPr>
      </w:pPr>
    </w:p>
    <w:tbl>
      <w:tblPr>
        <w:tblStyle w:val="3"/>
        <w:tblW w:w="85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3"/>
        <w:gridCol w:w="2199"/>
        <w:gridCol w:w="2128"/>
        <w:gridCol w:w="1983"/>
        <w:gridCol w:w="15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原企业名称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拟更名企业名称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证书编号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发证日期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福建闽紫种业有限公司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福建闽紫农业有限公司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GR202135000794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知鱼智联科技有限公司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知鱼智联科技股份有限公司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GR202135002592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长乐天顺针织有限公司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福州天顺针织有限公司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GR202135002700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长乐万达纺织机械有限公司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福州市长乐区万达纺织机械有限公司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GR201935000461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福建晟洲信息科技有限公司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晟洲信息科技有限公司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GR201935000050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福建新大陆环保科技有限公司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福建龙净新陆科技发展有限公司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GR201935000254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福建龙锋云科技股份有限公司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福建龙锋云科技有限公司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GR201935001021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福建省城投科技有限公司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福建左海科技有限公司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GR201935000006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福州巨梦时空网络科技有限公司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福建巨梦时空发展集团有限公司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GR202135002097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219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福州联创智信科技有限公司</w:t>
            </w:r>
          </w:p>
        </w:tc>
        <w:tc>
          <w:tcPr>
            <w:tcW w:w="2128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联创智信（福建）科技集团有限公司</w:t>
            </w:r>
          </w:p>
        </w:tc>
        <w:tc>
          <w:tcPr>
            <w:tcW w:w="1983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GR202135000690</w:t>
            </w:r>
          </w:p>
        </w:tc>
        <w:tc>
          <w:tcPr>
            <w:tcW w:w="1596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富利（福建）科技集团有限公司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富利科技集团有限公司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GR202135001128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福州万象三维电子科技有限公司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福建万象三维科技有限公司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GR201935000036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福州畅博软件开发有限公司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福州游龙共创信息技术有限公司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GR202135000581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福建省长乐市华伟针织有限公司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福建省福州市华伟针织有限公司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GR202135000277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福州诚控电气有限公司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福建诚控电气有限公司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GR201935001016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福州市台江区明暗交界文化传播有限公司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福州暗金网络科技有限公司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GR202135001866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福州市延兴工程检测有限公司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福建省延兴工程技术有限公司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GR202135000460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福州磬基电子有限公司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福建禾福云信息技术有限公司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GR202135000977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福州新福兴浮法玻璃有限公司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福州新福兴玻璃科技有限公司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GR202135002426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福建省长乐市华诚针纺织品有限公司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福州市长乐区华诚针纺织品有限公司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GR202135002422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福建省晶海工程服务有限公司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福建建中岩土工程有限责任公司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GR202035001516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福建天舟互动娱乐有限公司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福建天舟互动技术有限公司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GR202135000538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福州兴博新中大软件有限公司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福建兴博数政科技有限公司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GR202135001164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福建省晨曦信息科技股份有限公司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福建晨曦信息科技集团股份有限公司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GR202135000766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福建海创光电有限公司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福建海创光电技术股份有限公司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GR201935000122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福建银雁金融服务外包有限公司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福建银雁科技服务有限公司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GR202035001050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begin"/>
            </w:r>
            <w:r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instrText xml:space="preserve"> HYPERLINK "https://innocomreport2.chinatorch.org.cn/xinnocommgr/reportdeal/DataEntNameChangeDeal/javascript: void(0)" \o "" </w:instrText>
            </w:r>
            <w:r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separate"/>
            </w:r>
            <w:r>
              <w:rPr>
                <w:rStyle w:val="5"/>
                <w:rFonts w:hint="default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  <w:t>福建省智协教育科技发展有限公司</w:t>
            </w:r>
            <w:r>
              <w:rPr>
                <w:rFonts w:hint="default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fldChar w:fldCharType="end"/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福建省微智行科技有限公司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GR201935000548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福建陆海工程勘察设计有限公司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福建省陆海工程科技有限公司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GR202135000491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福建德尔科技有限公司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福建德尔科技股份有限公司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GR202135001448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福建龙马环卫装备股份有限公司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福龙马集团股份有限公司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GR202035000342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福建省南平市奥翔鞋业有限公司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福建奥翔安防科技有限公司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GR202135001195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福建秒道科技有限公司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秒道控股集团有限公司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GR202135002552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建瓯市映山龙农业科技有限公司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福建省圆旺元种子集团有限公司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GR202135002137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34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宁德中检检测技术有限公司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宁德新能先锋检测科技有限公司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GR202035000104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福建柘参生物科技股份有限公司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福建柘参生物科技研究股份有限公司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GR201935001098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36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福建荣耀健身器材有限公司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福建荣耀健康科技股份有限公司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GR202035001961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福建省嘉盟网络科技有限公司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福建省嘉盟网络科技集团有限公司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GR201935000460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38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福建飞森动力有限公司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飞森动力科技（福建）有限公司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GR202035001903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39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莆田市远航包装饰品有限公司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福建省莆田远航服饰有限公司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GR201935001222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40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莆田市燎原包装印刷有限公司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博森环保科技（莆田）股份有限公司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GR201935000819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41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展宏（福建）板业发展有限公司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展宏节能科技有限公司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GR201935000666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42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泉州安邦展示用品工贸有限公司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福建安邦展示股份有限公司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GR201935001218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43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神华福能发电有限责任公司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国能神福（石狮）发电有限公司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GR202135000013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44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泉州兰台信息科技有限责任公司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福建数字兰台科技股份有限公司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GR202135000973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45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泉州西加科技有限公司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泉州西加科技股份有限公司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GR202135000636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46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福建曼玲食品有限公司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福建省曼玲食品股份有限公司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GR202135002382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47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泉州市捷云软件开发有限公司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福建省捷云软件股份有限公司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GR202035000579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48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怡佳（福建）卫生用品有限公司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怡佳（福建）卫生用品股份有限公司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GR202135000164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49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福建云扬科技有限公司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福建云扬教育科技集团有限公司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GR202135002593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泉州迈特富纺织科技有限公司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福建迈特富科技发展有限公司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GR201935000898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51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泉州市众科专利技术标准化研究院有限责任公司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泉州众科知识产权运营股份有限公司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GR202035001144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52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晋江圣翔机械有限公司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福建欣百圣智能科技有限公司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GR202135001938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53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泉州市奇星制动器材有限公司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泉州奇星制动器材股份有限公司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GR202135000908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54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福建诚晨信息科技有限公司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福建诚晨信息科技股份有限公司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GR201935000835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55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晋江凯基高分子材料有限公司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福建凯基高分子材料股份有限公司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GR201935000855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56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福建恒春织造有限公司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福建恒春织造股份有限公司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GR201935000751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57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机械科学研究总院海西（福建）分院有限公司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中国机械总院集团海西（福建）分院有限公司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GR202035002005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58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福建省田伯生物肥有限公司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福建省田伯生物科技有限公司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GR202035001614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59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漳浦县蓝月亮电子科技有限公司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福建晶亮电子科技有限公司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GR202135002706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漳州市城市规划设计有限公司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漳州市城市规划设计研究院有限公司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GR202135001794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61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太龙（福建）商业照明股份有限公司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太龙电子股份有限公司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GR202035000319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2020.12.1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62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福建漳州力天环境工程有限公司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福建省新力天环境工程有限公司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GR201935000275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2019.12.2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63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福建省慕兰卡食品有限公司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福建省小白心里软食品有限公司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GR202135000599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64</w:t>
            </w:r>
          </w:p>
        </w:tc>
        <w:tc>
          <w:tcPr>
            <w:tcW w:w="219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漳州则宇文化传播有限公司</w:t>
            </w:r>
          </w:p>
        </w:tc>
        <w:tc>
          <w:tcPr>
            <w:tcW w:w="212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福建省则宇文化传播有限公司</w:t>
            </w:r>
          </w:p>
        </w:tc>
        <w:tc>
          <w:tcPr>
            <w:tcW w:w="198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GR202135000197</w:t>
            </w:r>
          </w:p>
        </w:tc>
        <w:tc>
          <w:tcPr>
            <w:tcW w:w="1596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2021.12.15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-120015</wp:posOffset>
                </wp:positionH>
                <wp:positionV relativeFrom="paragraph">
                  <wp:posOffset>392430</wp:posOffset>
                </wp:positionV>
                <wp:extent cx="5422265" cy="7620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1021715" y="9354820"/>
                          <a:ext cx="5422265" cy="762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9.45pt;margin-top:30.9pt;height:0.6pt;width:426.95pt;z-index:251661312;mso-width-relative:page;mso-height-relative:page;" filled="f" stroked="t" coordsize="21600,21600" o:gfxdata="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FlM2XtkAAAAJAQAADwAAAAAAAAABACAAAAAiAAAAZHJzL2Rvd25yZXYu&#10;eG1sUEsBAhQAFAAAAAgAh07iQH+9/WD6AQAAywMAAA4AAAAAAAAAAQAgAAAAKAEAAGRycy9lMm9E&#10;b2MueG1sUEsFBgAAAAAGAAYAWQEAAJQFAAAAAA==&#10;">
                <v:fill on="f" focussize="0,0"/>
                <v:stroke weight="1.25pt" color="#000000 [3213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 w:ascii="方正仿宋_GBK" w:hAnsi="方正仿宋_GBK" w:eastAsia="方正仿宋_GBK" w:cs="方正仿宋_GBK"/>
          <w:lang w:val="en-US" w:eastAsia="zh-CN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-121285</wp:posOffset>
                </wp:positionH>
                <wp:positionV relativeFrom="paragraph">
                  <wp:posOffset>323215</wp:posOffset>
                </wp:positionV>
                <wp:extent cx="5422265" cy="7620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22265" cy="762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9.55pt;margin-top:25.45pt;height:0.6pt;width:426.95pt;z-index:251662336;mso-width-relative:page;mso-height-relative:page;" filled="f" stroked="t" coordsize="21600,21600" o:gfxdata="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IxvVCXZAAAACQEAAA8AAAAAAAAAAQAgAAAAIgAAAGRycy9kb3ducmV2LnhtbFBLAQIUABQA&#10;AAAIAIdO4kBWhfi97wEAAL8DAAAOAAAAAAAAAAEAIAAAACgBAABkcnMvZTJvRG9jLnhtbFBLBQYA&#10;AAAABgAGAFkBAACJBQAAAAA=&#10;">
                <v:fill on="f" focussize="0,0"/>
                <v:stroke weight="1.2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lang w:val="en" w:eastAsia="zh-CN"/>
        </w:rPr>
        <w:t>福建省科学技术厅办公室</w:t>
      </w:r>
      <w:r>
        <w:rPr>
          <w:rFonts w:hint="eastAsia"/>
          <w:lang w:val="en-US" w:eastAsia="zh-CN"/>
        </w:rPr>
        <w:t xml:space="preserve">        </w:t>
      </w:r>
      <w:r>
        <w:rPr>
          <w:rFonts w:hint="eastAsia" w:ascii="方正仿宋_GBK" w:hAnsi="方正仿宋_GBK" w:eastAsia="方正仿宋_GBK" w:cs="方正仿宋_GBK"/>
          <w:lang w:val="en-US" w:eastAsia="zh-CN"/>
        </w:rPr>
        <w:t>202</w:t>
      </w:r>
      <w:r>
        <w:rPr>
          <w:rFonts w:hint="default" w:ascii="方正仿宋_GBK" w:hAnsi="方正仿宋_GBK" w:eastAsia="方正仿宋_GBK" w:cs="方正仿宋_GBK"/>
          <w:lang w:eastAsia="zh-CN"/>
        </w:rPr>
        <w:t>2</w:t>
      </w:r>
      <w:r>
        <w:rPr>
          <w:rFonts w:hint="eastAsia" w:ascii="方正仿宋_GBK" w:hAnsi="方正仿宋_GBK" w:eastAsia="方正仿宋_GBK" w:cs="方正仿宋_GBK"/>
          <w:lang w:val="en-US" w:eastAsia="zh-CN"/>
        </w:rPr>
        <w:t>年7月</w:t>
      </w:r>
      <w:r>
        <w:rPr>
          <w:rFonts w:hint="default" w:ascii="方正仿宋_GBK" w:hAnsi="方正仿宋_GBK" w:eastAsia="方正仿宋_GBK" w:cs="方正仿宋_GBK"/>
          <w:lang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lang w:val="en-US" w:eastAsia="zh-CN"/>
        </w:rPr>
        <w:t>日印发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</w:font>
  <w:font w:name="方正黑体_GBK">
    <w:altName w:val="微软雅黑"/>
    <w:panose1 w:val="02000000000000000000"/>
    <w:charset w:val="00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YxNDY4ZDUxYTZmMWNmNzYwMjMyZWJkZWQyZGVlODQifQ=="/>
  </w:docVars>
  <w:rsids>
    <w:rsidRoot w:val="FDDFC79C"/>
    <w:rsid w:val="18AE510F"/>
    <w:rsid w:val="391E6420"/>
    <w:rsid w:val="44322A73"/>
    <w:rsid w:val="5E716061"/>
    <w:rsid w:val="6C2F78C1"/>
    <w:rsid w:val="FDDFC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color w:val="000000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2022-06-24T22:00:00Z</dcterms:created>
  <dc:creator>vv</dc:creator>
  <cp:lastModifiedBy>zz洲</cp:lastModifiedBy>
  <dcterms:modified xsi:type="dcterms:W3CDTF">2022-07-06T03:42:10Z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DBF13F60F3F84B87BC68734D5AE3B4D5</vt:lpwstr>
  </property>
</Properties>
</file>