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color w:val="000000"/>
          <w:kern w:val="0"/>
          <w:sz w:val="32"/>
          <w:szCs w:val="32"/>
        </w:rPr>
      </w:pPr>
    </w:p>
    <w:p>
      <w:pPr>
        <w:rPr>
          <w:rFonts w:ascii="宋体" w:cs="宋体"/>
          <w:color w:val="000000"/>
          <w:kern w:val="0"/>
          <w:sz w:val="32"/>
          <w:szCs w:val="32"/>
        </w:rPr>
      </w:pPr>
    </w:p>
    <w:p>
      <w:pPr>
        <w:pStyle w:val="5"/>
        <w:rPr>
          <w:rFonts w:ascii="宋体" w:cs="宋体"/>
          <w:sz w:val="32"/>
          <w:szCs w:val="32"/>
        </w:rPr>
      </w:pPr>
    </w:p>
    <w:p>
      <w:pPr>
        <w:jc w:val="righ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fldChar w:fldCharType="begin"/>
      </w:r>
      <w:r>
        <w:rPr>
          <w:rFonts w:ascii="仿宋_GB2312" w:hAnsi="仿宋" w:eastAsia="仿宋_GB2312"/>
          <w:color w:val="000000"/>
          <w:sz w:val="32"/>
          <w:szCs w:val="32"/>
        </w:rPr>
        <w:instrText xml:space="preserve"> MERGEFIELD  </w:instrText>
      </w:r>
      <w:r>
        <w:rPr>
          <w:rFonts w:hint="eastAsia" w:ascii="仿宋_GB2312" w:hAnsi="仿宋" w:eastAsia="仿宋_GB2312"/>
          <w:color w:val="000000"/>
          <w:sz w:val="32"/>
          <w:szCs w:val="32"/>
        </w:rPr>
        <w:instrText xml:space="preserve">发文编号</w:instrText>
      </w:r>
      <w:r>
        <w:rPr>
          <w:rFonts w:ascii="仿宋_GB2312" w:hAnsi="仿宋" w:eastAsia="仿宋_GB2312"/>
          <w:color w:val="000000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color w:val="000000"/>
          <w:sz w:val="32"/>
          <w:szCs w:val="32"/>
        </w:rPr>
        <w:t>闽科专函〔</w:t>
      </w:r>
      <w:r>
        <w:rPr>
          <w:rFonts w:ascii="仿宋_GB2312" w:hAnsi="仿宋" w:eastAsia="仿宋_GB2312"/>
          <w:color w:val="000000"/>
          <w:sz w:val="32"/>
          <w:szCs w:val="32"/>
        </w:rPr>
        <w:t>2023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〕</w:t>
      </w:r>
      <w:r>
        <w:rPr>
          <w:rFonts w:ascii="仿宋_GB2312" w:hAnsi="仿宋" w:eastAsia="仿宋_GB2312"/>
          <w:color w:val="000000"/>
          <w:sz w:val="32"/>
          <w:szCs w:val="32"/>
        </w:rPr>
        <w:t>64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号</w:t>
      </w:r>
      <w:r>
        <w:rPr>
          <w:rFonts w:ascii="仿宋_GB2312" w:hAnsi="仿宋" w:eastAsia="仿宋_GB2312"/>
          <w:color w:val="000000"/>
          <w:sz w:val="32"/>
          <w:szCs w:val="32"/>
        </w:rPr>
        <w:fldChar w:fldCharType="end"/>
      </w:r>
    </w:p>
    <w:p>
      <w:pPr>
        <w:rPr>
          <w:color w:val="000000"/>
        </w:rPr>
      </w:pPr>
    </w:p>
    <w:p>
      <w:pPr>
        <w:spacing w:line="240" w:lineRule="atLeas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福建省科学技术厅关于公布</w:t>
      </w:r>
      <w:r>
        <w:rPr>
          <w:rFonts w:ascii="方正小标宋简体" w:hAnsi="仿宋" w:eastAsia="方正小标宋简体"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年福建省科学实验展演汇演活动获奖名单的通知</w:t>
      </w:r>
    </w:p>
    <w:p>
      <w:pP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各有关单位：</w:t>
      </w:r>
    </w:p>
    <w:p>
      <w:pPr>
        <w:ind w:firstLine="640" w:firstLineChars="200"/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  <w:lang w:eastAsia="zh-CN"/>
        </w:rPr>
        <w:t>为</w:t>
      </w:r>
      <w:bookmarkStart w:id="0" w:name="_GoBack"/>
      <w:bookmarkEnd w:id="0"/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全面贯彻落实党的二十大精神，深入实施创新驱动发展战略，弘扬科学精神、普及科学知识，大力培育创新文化，营造创新氛围，福建省科学技术厅举办了</w:t>
      </w:r>
      <w: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  <w:t>2023</w:t>
      </w: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年福建省科学实验展演汇演活动。根据活动规则，本次活动共评选出一等奖</w:t>
      </w:r>
      <w: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组，二等奖</w:t>
      </w:r>
      <w: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组，三等奖</w:t>
      </w:r>
      <w: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组，优秀奖</w:t>
      </w:r>
      <w: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组以及</w:t>
      </w:r>
      <w: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家预赛组织单位获得优秀组织奖。现予以公布。</w:t>
      </w:r>
    </w:p>
    <w:p>
      <w:pPr>
        <w:ind w:firstLine="640" w:firstLineChars="200"/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年福建省科学实验展演汇演活动获奖名单</w:t>
      </w:r>
    </w:p>
    <w:p>
      <w:pPr>
        <w:ind w:firstLine="720" w:firstLineChars="225"/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  <w:t xml:space="preserve">     </w:t>
      </w:r>
    </w:p>
    <w:p>
      <w:pPr>
        <w:pStyle w:val="2"/>
        <w:ind w:left="1470" w:right="1470"/>
      </w:pPr>
    </w:p>
    <w:p>
      <w:pPr>
        <w:ind w:firstLine="4499" w:firstLineChars="1406"/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福建省科学技术厅</w:t>
      </w:r>
    </w:p>
    <w:p>
      <w:pPr>
        <w:ind w:firstLine="4640" w:firstLineChars="1450"/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  <w:t>2023</w:t>
      </w: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  <w:t>24</w:t>
      </w: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日</w:t>
      </w:r>
    </w:p>
    <w:p>
      <w:pPr>
        <w:ind w:firstLine="640" w:firstLineChars="200"/>
        <w:rPr>
          <w:rFonts w:ascii="仿宋_GB2312" w:hAnsi="仿宋" w:eastAsia="仿宋_GB2312" w:cs="Arial"/>
          <w:color w:val="00000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_GB2312" w:hAnsi="仿宋" w:eastAsia="仿宋_GB2312" w:cs="Arial"/>
          <w:color w:val="000000"/>
          <w:sz w:val="32"/>
          <w:szCs w:val="32"/>
          <w:shd w:val="clear" w:color="auto" w:fill="FFFFFF"/>
        </w:rPr>
        <w:t>（此件主动公开）</w:t>
      </w:r>
    </w:p>
    <w:p>
      <w:pPr>
        <w:adjustRightInd w:val="0"/>
        <w:snapToGrid w:val="0"/>
        <w:spacing w:afterLines="25" w:line="240" w:lineRule="atLeas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pStyle w:val="2"/>
        <w:ind w:left="1470" w:right="1470"/>
      </w:pPr>
    </w:p>
    <w:p>
      <w:pPr>
        <w:adjustRightInd w:val="0"/>
        <w:snapToGrid w:val="0"/>
        <w:spacing w:afterLines="25" w:line="24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年福建省科学实验展演汇演活动</w:t>
      </w:r>
    </w:p>
    <w:p>
      <w:pPr>
        <w:adjustRightInd w:val="0"/>
        <w:snapToGrid w:val="0"/>
        <w:spacing w:afterLines="25" w:line="240" w:lineRule="atLeast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获奖名单</w:t>
      </w:r>
    </w:p>
    <w:p>
      <w:pPr>
        <w:pStyle w:val="5"/>
        <w:rPr>
          <w:sz w:val="24"/>
          <w:szCs w:val="24"/>
        </w:rPr>
      </w:pPr>
    </w:p>
    <w:tbl>
      <w:tblPr>
        <w:tblStyle w:val="8"/>
        <w:tblW w:w="99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参赛代表队及团队队员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一等奖（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8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作品名称：平衡大挑战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队：福建省科技馆保持平衡代表队</w:t>
            </w:r>
          </w:p>
          <w:p>
            <w:pPr>
              <w:pStyle w:val="2"/>
              <w:spacing w:after="0" w:line="400" w:lineRule="exact"/>
              <w:ind w:left="0" w:leftChars="0" w:right="147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团队成员：杨传青、林秋鸿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"/>
              <w:spacing w:after="0" w:line="400" w:lineRule="exact"/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二等奖（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8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作品名称：熠熠生辉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队：福建省科技馆熠熠生辉代表队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团队成员：缪炜烜、刘宬琰、黄天志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8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作品名称：无形之力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队：莆田市科技馆奇思妙想队</w:t>
            </w:r>
          </w:p>
          <w:p>
            <w:pPr>
              <w:pStyle w:val="2"/>
              <w:spacing w:line="400" w:lineRule="exact"/>
              <w:ind w:left="0" w:leftChars="0" w:right="147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团队成员：张丹丹、张俊敏、佘丽娟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"/>
              <w:spacing w:after="0" w:line="400" w:lineRule="exact"/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三等奖（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8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作品名称：细胞生理与死亡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队：福建医科大学附属第一医院代表队</w:t>
            </w:r>
          </w:p>
          <w:p>
            <w:pPr>
              <w:pStyle w:val="2"/>
              <w:spacing w:after="0" w:line="400" w:lineRule="exact"/>
              <w:ind w:left="0" w:leftChars="0"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  <w:t>许艳芳、马华彬、王锃、黄菲、蓝瑞隆、刘丹清、陈俊英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8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作品名称：遇水开花话亲疏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队：厦门华厦学院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科普代表队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团队成员：金靖雯、吴玉琪、况慧、郑伟林、许圣鑫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8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作品名称：秸秆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聚合氯化铝复合材料的制备及其在水处理中的应用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队：福建技术师范学院水处理材料研发团队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团队成员：李世迁、熊远鹏、潘翠红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8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作品名称：尺子戏法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队：福建师范大学科教小队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团队成员：薛雨欣、王涵余、李卓然、黄胤捷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8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作品名称：粉尘爆炸演示实验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感知粉尘爆炸的威力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队：福建船政交通职业学院代表队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团队成员：陈惠敏、王超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8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作品名称：魔法变色剂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队：中国科学院福建物质结构研究所成双成队代表队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团队成员：付喜凤、朱雨婷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"/>
              <w:spacing w:after="0" w:line="400" w:lineRule="exact"/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优秀奖（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作品名称：森林消防风力灭火机的灭火原理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队：福建森林消防代表队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团队成员：陈寒军、王志文、王鹏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作品名称：会呼吸的叶子：微观世界的生命奇迹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队：闽江师范高等专科学校“思源”生物科普队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团队成员：卓文豪、辛相霏、石希望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作品名称：商业摄影应用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沙姆定律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队：泉州华光职业学院摄影团队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团队成员：曹博、张小喻、林泽华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作品名称：马口鱼体内外结构与功能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队：福建省淡水水产研究所代表队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团队成员：陈宇舒、廖梦香、张晶晶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作品名称：垂直接触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分离式和水平滑动式摩擦纳米发电机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队：仰恩大学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TENG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代表队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团队成员：李磊、温新竹、朱丽霞、朱霆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9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作品名称：浅墨奇彩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变色彩虹与隐形墨水的神奇变化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队：宁德师范学院医学院碟中谍之浅墨奇彩代表队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团队成员：殷婷婷、林俊熹、檀品品、陈艳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优秀组织奖（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中国科学院福建物质结构研究所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福建船政交通职业学院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福建省科技馆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（排名不分先后）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68" w:type="dxa"/>
          </w:tcPr>
          <w:p>
            <w:pPr>
              <w:pStyle w:val="2"/>
              <w:ind w:left="1470" w:right="1470"/>
            </w:pPr>
          </w:p>
        </w:tc>
        <w:tc>
          <w:tcPr>
            <w:tcW w:w="8913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5"/>
      </w:pP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DY4ZDUxYTZmMWNmNzYwMjMyZWJkZWQyZGVlODQifQ=="/>
  </w:docVars>
  <w:rsids>
    <w:rsidRoot w:val="00163351"/>
    <w:rsid w:val="000770C2"/>
    <w:rsid w:val="0009115B"/>
    <w:rsid w:val="000B03B5"/>
    <w:rsid w:val="000E35F8"/>
    <w:rsid w:val="001047C8"/>
    <w:rsid w:val="00140E79"/>
    <w:rsid w:val="00163351"/>
    <w:rsid w:val="001E2412"/>
    <w:rsid w:val="00244F59"/>
    <w:rsid w:val="00255CD3"/>
    <w:rsid w:val="003428FA"/>
    <w:rsid w:val="00362244"/>
    <w:rsid w:val="0041385B"/>
    <w:rsid w:val="00482E00"/>
    <w:rsid w:val="00491CEC"/>
    <w:rsid w:val="00496741"/>
    <w:rsid w:val="004A49E7"/>
    <w:rsid w:val="004E4548"/>
    <w:rsid w:val="0050275E"/>
    <w:rsid w:val="00506D82"/>
    <w:rsid w:val="005312F6"/>
    <w:rsid w:val="005333D3"/>
    <w:rsid w:val="00552EF3"/>
    <w:rsid w:val="00582067"/>
    <w:rsid w:val="005840A0"/>
    <w:rsid w:val="0059722D"/>
    <w:rsid w:val="00682AEF"/>
    <w:rsid w:val="00685DCA"/>
    <w:rsid w:val="006D228D"/>
    <w:rsid w:val="006D4434"/>
    <w:rsid w:val="0072105C"/>
    <w:rsid w:val="00764C42"/>
    <w:rsid w:val="00837FCC"/>
    <w:rsid w:val="00907220"/>
    <w:rsid w:val="009457CF"/>
    <w:rsid w:val="00962A36"/>
    <w:rsid w:val="00A003F3"/>
    <w:rsid w:val="00A3404A"/>
    <w:rsid w:val="00A8400C"/>
    <w:rsid w:val="00BC0107"/>
    <w:rsid w:val="00C85990"/>
    <w:rsid w:val="00CA7942"/>
    <w:rsid w:val="00CC1C98"/>
    <w:rsid w:val="00D110D8"/>
    <w:rsid w:val="00D25801"/>
    <w:rsid w:val="00D420B3"/>
    <w:rsid w:val="00D557CB"/>
    <w:rsid w:val="00D7260F"/>
    <w:rsid w:val="00D93283"/>
    <w:rsid w:val="00DB3F92"/>
    <w:rsid w:val="00E2370D"/>
    <w:rsid w:val="00E756AF"/>
    <w:rsid w:val="00E83EEF"/>
    <w:rsid w:val="00F072C0"/>
    <w:rsid w:val="00F157A0"/>
    <w:rsid w:val="00F557C5"/>
    <w:rsid w:val="00FA320A"/>
    <w:rsid w:val="00FF7C67"/>
    <w:rsid w:val="0D8679AB"/>
    <w:rsid w:val="0E031D5B"/>
    <w:rsid w:val="11A70B89"/>
    <w:rsid w:val="16324937"/>
    <w:rsid w:val="19302C88"/>
    <w:rsid w:val="1CBE3274"/>
    <w:rsid w:val="21AC5132"/>
    <w:rsid w:val="23DE7D37"/>
    <w:rsid w:val="2BED3C61"/>
    <w:rsid w:val="31664D8A"/>
    <w:rsid w:val="4BC41B72"/>
    <w:rsid w:val="4D1113F3"/>
    <w:rsid w:val="51715EC1"/>
    <w:rsid w:val="5D677642"/>
    <w:rsid w:val="5DBC2ECA"/>
    <w:rsid w:val="5EAC64CF"/>
    <w:rsid w:val="5FBC6860"/>
    <w:rsid w:val="64F24B7B"/>
    <w:rsid w:val="68392A72"/>
    <w:rsid w:val="791803B0"/>
    <w:rsid w:val="7C34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99" w:semiHidden="0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9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4">
    <w:name w:val="heading 4"/>
    <w:basedOn w:val="1"/>
    <w:next w:val="1"/>
    <w:link w:val="13"/>
    <w:qFormat/>
    <w:uiPriority w:val="99"/>
    <w:pPr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99"/>
    <w:pPr>
      <w:spacing w:after="120"/>
      <w:ind w:left="1440" w:leftChars="700" w:right="1440" w:rightChars="700"/>
    </w:pPr>
    <w:rPr>
      <w:color w:val="000000"/>
      <w:kern w:val="0"/>
      <w:sz w:val="24"/>
    </w:rPr>
  </w:style>
  <w:style w:type="paragraph" w:styleId="5">
    <w:name w:val="Balloon Text"/>
    <w:basedOn w:val="1"/>
    <w:next w:val="1"/>
    <w:link w:val="14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Heading 1 Char"/>
    <w:basedOn w:val="10"/>
    <w:link w:val="3"/>
    <w:qFormat/>
    <w:locked/>
    <w:uiPriority w:val="99"/>
    <w:rPr>
      <w:rFonts w:eastAsia="黑体" w:cs="Times New Roman"/>
      <w:kern w:val="2"/>
      <w:sz w:val="32"/>
    </w:rPr>
  </w:style>
  <w:style w:type="character" w:customStyle="1" w:styleId="13">
    <w:name w:val="Heading 4 Char"/>
    <w:basedOn w:val="10"/>
    <w:link w:val="4"/>
    <w:semiHidden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4">
    <w:name w:val="Balloon Text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10"/>
    <w:link w:val="6"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Header Char"/>
    <w:basedOn w:val="10"/>
    <w:link w:val="7"/>
    <w:qFormat/>
    <w:locked/>
    <w:uiPriority w:val="99"/>
    <w:rPr>
      <w:rFonts w:cs="Times New Roman"/>
      <w:kern w:val="2"/>
      <w:sz w:val="18"/>
    </w:rPr>
  </w:style>
  <w:style w:type="paragraph" w:customStyle="1" w:styleId="17">
    <w:name w:val="附件标题"/>
    <w:basedOn w:val="4"/>
    <w:next w:val="1"/>
    <w:qFormat/>
    <w:uiPriority w:val="99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199</Words>
  <Characters>1139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2023-10-25T08:42:00Z</dcterms:created>
  <dc:creator>Administrator</dc:creator>
  <cp:lastModifiedBy>xxjs</cp:lastModifiedBy>
  <cp:lastPrinted>2023-10-17T08:01:00Z</cp:lastPrinted>
  <dcterms:modified xsi:type="dcterms:W3CDTF">2023-10-30T02:20:12Z</dcterms:modified>
  <dc:title>闽科专函〔2023〕64号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8B6AE180D0B647489F5BDAFCE9857ABA_13</vt:lpwstr>
  </property>
</Properties>
</file>