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闽科成函〔2024〕36号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福建省科学技术厅关于开展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省级技术转移机构评价工作的通知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各有关设区市科技局，各有关单位：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我省技术转移体系建设，规范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省级技术转移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成果转化效率，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按照《福建省技术转移机构管理办法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（修订）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现对已命名满三年和限期整改（《福建省科学技术厅关于公布省级技术转移机构评价结果的通知》（闽科成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〔2023〕2号）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）的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省级技术转移机构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评价</w:t>
      </w:r>
      <w:r>
        <w:rPr>
          <w:rFonts w:hint="eastAsia" w:ascii="黑体" w:hAnsi="黑体" w:eastAsia="黑体" w:cs="黑体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年命名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和限期整改的省级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技术转移机构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30家（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二、评价内容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省级技术转移机构分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交易类</w:t>
      </w:r>
      <w:r>
        <w:rPr>
          <w:rFonts w:hint="eastAsia" w:ascii="仿宋_GB2312" w:hAnsi="仿宋_GB2312" w:eastAsia="仿宋_GB2312" w:cs="仿宋_GB2312"/>
          <w:sz w:val="32"/>
          <w:szCs w:val="32"/>
        </w:rPr>
        <w:t>和平台类进行评价。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全面评价省级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技术转移机构建设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，重点围绕各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机构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技术转移工作基础条件、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规范管理、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服务绩效、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社会效益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社会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信誉等方面进行综合考评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三、评价程序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填报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方式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设区市科技局、高校、科研院所和省直有关单位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组织本部门推荐的省级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技术转移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在线填报相关数据并上传佐证材料，逾期不再受理。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填报流程：在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福建省科技创新平台及机构管理系统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http://xmgl.kjt.fujian.gov.cn）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内，点击“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后续管理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选择“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技术转移服务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机构”→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工作表/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评价表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→添加→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选择三年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评价表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（限期整改的机构选择年度评价表）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，按要求填写表格后，需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上传相关附件及经单位法人代表签章的承诺书扫描件。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审核提交。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设区市科技局、高校、科研院所和省直有关单位负责对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本部门推荐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技术转移机构填报材料的真实性和完整性进行审核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，同时应进行实地调研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完成在线审核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将省级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技术转移机构评价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汇总表（附件2）盖章后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寄送或传真</w:t>
      </w:r>
      <w:r>
        <w:rPr>
          <w:rFonts w:hint="eastAsia" w:ascii="仿宋_GB2312" w:hAnsi="仿宋_GB2312" w:eastAsia="仿宋_GB2312" w:cs="仿宋_GB2312"/>
          <w:sz w:val="32"/>
          <w:szCs w:val="32"/>
        </w:rPr>
        <w:t>至省科技厅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评审核查。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省科技厅根据在线提交的评价表以及相关佐证材料，对机构进行综合评价，视情组织现场考察。凡不提供评价材料或在评价过程中弄虚作假的，经核实后，视为评价不合格，取消省级技术转移机构资格。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评价结果。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结果分为优秀、良好、合格和不合格四类。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省科技厅将适时对结果进行公示和通报，并对</w:t>
      </w:r>
      <w:r>
        <w:rPr>
          <w:rFonts w:hint="eastAsia" w:ascii="仿宋_GB2312" w:hAnsi="仿宋_GB2312" w:eastAsia="仿宋_GB2312" w:cs="仿宋_GB2312"/>
          <w:color w:val="auto"/>
          <w:sz w:val="31"/>
          <w:szCs w:val="31"/>
          <w:highlight w:val="none"/>
          <w:lang w:eastAsia="zh-CN"/>
        </w:rPr>
        <w:t>评价优秀且排名前三的交易类省级技术转移机构分别给予50万元、40万元和30万元奖励。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评价无需提交纸质材料，相关材料各单位自行留存备查。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各单位在填报中遇到技术问题，可与系统技术人员联系，电话：0591-87882011，87862680。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业务咨询：成果转化处 0591-87862395，0591-87862525（传真）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年命名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和限期整改的省级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>技术转移机构</w:t>
      </w:r>
      <w:r>
        <w:rPr>
          <w:rFonts w:hint="eastAsia" w:ascii="仿宋_GB2312" w:hAnsi="仿宋_GB2312" w:eastAsia="仿宋_GB2312" w:cs="仿宋_GB2312"/>
          <w:w w:val="90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技术转移机构评价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福建省科学技术厅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2024年3月27日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（此件主动公开）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br w:type="page"/>
      </w:r>
    </w:p>
    <w:p>
      <w:pPr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ind w:firstLine="320" w:firstLineChars="1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2020年命名和限期整改的省级技术转移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机构名单（30家）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</w:p>
    <w:tbl>
      <w:tblPr>
        <w:tblStyle w:val="5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177"/>
        <w:gridCol w:w="934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63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177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934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机构类型</w:t>
            </w:r>
          </w:p>
        </w:tc>
        <w:tc>
          <w:tcPr>
            <w:tcW w:w="2781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自然资源部第三海洋研究所产业处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自然资源部第三海洋研究所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福建省农业科学院农业质量标准与检测技术研究所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平台类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福建省农业科学院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中科院宁波材料所福建技术转移转化中心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中国科学院福建物质结构 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福建师范大学技术转移中心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福建师范大学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福建鑫恒动信息技术有限公司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福建博思创业园管理有限公司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平台类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福州琴声创业园管理有限公司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福建省闽量校准技术中心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福建省中智科技成果评价中心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福州创新驿站孵化器管理有限公司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福建省智能制造发展促进会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福州金大瑞商务咨询有限公司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福建鸣鹤网络科技有限公司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福建紫慧信息技术有限公司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福州顺升科技有限公司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福建西闽安全科技有限公司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福建省原道生态环境研究院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漳州市食品科技应用研究院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漳州市科技局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福建省正启企业管理咨询有限公司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漳州市科技局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漳州市安信企业管理咨询有限公司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漳州市科技局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福建（泉州）哈工大工程技术研究院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平台类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泉州市科技局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泉州装备制造研究所技术转移中心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泉州市科技局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泉州市启智企业管理服务有限公司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泉州市科技局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浙江五一技术股份有限公司泉州分公司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泉州市科技局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闽南理工学院技术转移转化中心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泉州市科技局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南安市融和中欧技术转化中心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泉州市科技局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三明市氟化工产业技术研究院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平台类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三明市科技局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福州物联网开放实验室有限公司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平台类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福州市科技局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</w:rPr>
              <w:t>福建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紫金矿冶测试技术有限公司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交易类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龙岩市科技局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1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南安市装备制造业协会</w:t>
            </w:r>
          </w:p>
        </w:tc>
        <w:tc>
          <w:tcPr>
            <w:tcW w:w="9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平台类</w:t>
            </w:r>
          </w:p>
        </w:tc>
        <w:tc>
          <w:tcPr>
            <w:tcW w:w="27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  <w:t>泉州市科技局</w:t>
            </w:r>
          </w:p>
        </w:tc>
      </w:tr>
    </w:tbl>
    <w:p>
      <w:p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技术转移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评价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推荐单位（盖章）：</w:t>
      </w:r>
    </w:p>
    <w:tbl>
      <w:tblPr>
        <w:tblStyle w:val="4"/>
        <w:tblW w:w="13295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3131"/>
        <w:gridCol w:w="2009"/>
        <w:gridCol w:w="2869"/>
        <w:gridCol w:w="4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</w:rPr>
              <w:t>序 号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</w:rPr>
              <w:t>机构名称</w:t>
            </w: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</w:rPr>
              <w:t>所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lang w:eastAsia="zh-CN"/>
              </w:rPr>
              <w:t>在地</w:t>
            </w:r>
          </w:p>
        </w:tc>
        <w:tc>
          <w:tcPr>
            <w:tcW w:w="2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  <w:lang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4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>
      <w:pPr>
        <w:ind w:firstLine="280" w:firstLineChars="100"/>
        <w:jc w:val="left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备注：请推荐部门盖章后传真至0591-87862525，寄送地址：福州市北环西路122号省科技厅成果转化处。</w:t>
      </w:r>
    </w:p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E7C289-7D63-4D6C-B016-722F841D9B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32AF2A-1B9E-4742-AE3D-750485238AA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904A998-A240-4886-AD17-E92EC8AFE6B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50BCEC1-FCC5-494F-8949-042C931FAB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07DA9CB-3468-493E-A346-A80CFD72AAF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-82550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4h8Nt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WwaWN3nOcGS4v1Ug&#10;q1L+H1D9AF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4h8Nt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F9A62"/>
    <w:multiLevelType w:val="singleLevel"/>
    <w:tmpl w:val="817F9A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mQ1Y2Q2NDMzN2QwM2JiZTVkNjdjOWUxY2VkZjEifQ=="/>
  </w:docVars>
  <w:rsids>
    <w:rsidRoot w:val="504401EF"/>
    <w:rsid w:val="00EA3C45"/>
    <w:rsid w:val="02D14C2C"/>
    <w:rsid w:val="0EAF3D2F"/>
    <w:rsid w:val="0F9A3FE3"/>
    <w:rsid w:val="0FB312CF"/>
    <w:rsid w:val="0FF141FB"/>
    <w:rsid w:val="13436F9F"/>
    <w:rsid w:val="154E4B49"/>
    <w:rsid w:val="17116BC2"/>
    <w:rsid w:val="198A5DB8"/>
    <w:rsid w:val="1C4A4E01"/>
    <w:rsid w:val="1F2F4650"/>
    <w:rsid w:val="1F70574E"/>
    <w:rsid w:val="213A354B"/>
    <w:rsid w:val="236E45DE"/>
    <w:rsid w:val="26BB1871"/>
    <w:rsid w:val="292341AF"/>
    <w:rsid w:val="2B9E4037"/>
    <w:rsid w:val="2EE7693B"/>
    <w:rsid w:val="32286A80"/>
    <w:rsid w:val="3251520F"/>
    <w:rsid w:val="36782F5A"/>
    <w:rsid w:val="3E0F3AAC"/>
    <w:rsid w:val="409A44F9"/>
    <w:rsid w:val="42E67EAC"/>
    <w:rsid w:val="45B01098"/>
    <w:rsid w:val="464643C3"/>
    <w:rsid w:val="487A27B3"/>
    <w:rsid w:val="49242230"/>
    <w:rsid w:val="492C4DFB"/>
    <w:rsid w:val="4AE637E0"/>
    <w:rsid w:val="4B7D21AC"/>
    <w:rsid w:val="4ED73B01"/>
    <w:rsid w:val="4FD15EAC"/>
    <w:rsid w:val="501716A5"/>
    <w:rsid w:val="504401EF"/>
    <w:rsid w:val="51006E55"/>
    <w:rsid w:val="51165E00"/>
    <w:rsid w:val="51395930"/>
    <w:rsid w:val="513C1F18"/>
    <w:rsid w:val="51433AC9"/>
    <w:rsid w:val="536D67FD"/>
    <w:rsid w:val="54441A5B"/>
    <w:rsid w:val="547C67AB"/>
    <w:rsid w:val="56125013"/>
    <w:rsid w:val="56BB5B35"/>
    <w:rsid w:val="57591F0D"/>
    <w:rsid w:val="57C51615"/>
    <w:rsid w:val="587D7CD6"/>
    <w:rsid w:val="5AFE1885"/>
    <w:rsid w:val="5B3020E1"/>
    <w:rsid w:val="5CBD4651"/>
    <w:rsid w:val="5F3B0EC5"/>
    <w:rsid w:val="64B3798E"/>
    <w:rsid w:val="679B5FAB"/>
    <w:rsid w:val="69482A87"/>
    <w:rsid w:val="6AD45045"/>
    <w:rsid w:val="6D421E16"/>
    <w:rsid w:val="6F2B261F"/>
    <w:rsid w:val="71CC0343"/>
    <w:rsid w:val="7A9A403D"/>
    <w:rsid w:val="7ADA4163"/>
    <w:rsid w:val="7EC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fjkjt</Company>
  <Pages>6</Pages>
  <Words>1714</Words>
  <Characters>1851</Characters>
  <Lines>0</Lines>
  <Paragraphs>0</Paragraphs>
  <TotalTime>876</TotalTime>
  <ScaleCrop>false</ScaleCrop>
  <LinksUpToDate>false</LinksUpToDate>
  <CharactersWithSpaces>1988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2021-09-23T01:54:00Z</dcterms:created>
  <dc:creator>梓瑄</dc:creator>
  <cp:lastModifiedBy>zjc</cp:lastModifiedBy>
  <cp:lastPrinted>2024-03-27T03:51:32Z</cp:lastPrinted>
  <dcterms:modified xsi:type="dcterms:W3CDTF">2024-03-27T03:52:36Z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FCBFDD9B6B6248889EABE2B2AB128B94_13</vt:lpwstr>
  </property>
</Properties>
</file>