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闽科农函〔2024〕47号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"/>
        </w:rPr>
        <w:t>福建省科学技术厅关于开展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2024年福建省科技特派团服务重点产业链专项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"/>
        </w:rPr>
        <w:t>项目申报工作的通知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有关单位：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为贯彻落实《中共福建省委办公厅 福建省人民政府办公厅印发&lt;关于深入推进科技特派员制度服务乡村振兴的若干措施&gt;的通知》（闽委办发〔2022〕5号）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《福建省人民政府办公厅关于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县域重点产业链高质量发展的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》（闽政办〔202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我厅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启动实施2024年福建省“科技特派团服务重点产业链专项”（以下简称“专项”）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以“揭榜挂帅”等方式遴选组建科技特派团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县域优势产业和区域特色产业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。通过联合省级产业部门和设区市科技部门，凝练形成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急需科技特派员团服务的县域重点产业链技术服务需求榜单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（详见附件），现予以发榜。现就项目申报有关事项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通知如下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申报条件和要求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（一）项目牵头揭榜单位应为省内高校、科研院所，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鼓励省内单位将省外优势单位作为合作单位，一起参与揭榜。产业链的相关企业作为科技特派团服务对象，也可作为专项项目实施的合作单位。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项目牵头揭榜单位应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联合省内外有关优势单位共同揭榜，团队成员至少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名以上，符合省级科技特派员选认标准和条件，专业领域能够涵盖县域重点产业链全链条技术服务需要，团队成员具有明确的任务分工，体现团队成员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多学科多专业交叉融合的特点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项目牵头揭榜单位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按照县域重点产业链技术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服务需求榜单（详见附件）所规定的项目建设内容、预期技术目标、时限等要求申报。目标任务应明确具体，预期技术指标应量化可考核，在项目完成时能形成具有自主知识产权的技术成果和产业化指标。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揭榜成功的技术服务团队直接选认为省级团队科技特派员，团队成员全部选认为省级个人科技特派员，任期与项目实施期挂钩对应。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专项属于科技特派员前补助项目，按照省科技计划引导性项目管理，申报项目研发起始时间为202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日，每个专项项目实施期原则上不超过3年。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（六）申请科技厅资助经费不超过100万元，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鼓励市县有关部门和县域重点产业链企业配套投入一定经费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项目揭榜方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按照《福建省科学技术厅 福建省财政厅关于印发〈福建省级科技计划项目经费管理办法〉的通知》（闽科规〔2022〕8号）的要求，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编制科技项目经费预算（包含项目各合作单位经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费预算）。若省科技厅实际资助经费未达到申请额度，项目揭榜方应能与需求单位协商，自筹解决差额部分。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（七）项目牵头揭榜单位不得有到期未验收的省科技计划项目。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八）项目负责人应为实际主持研究工作的科技人员，不得有到期未验收的省科技计划项目。项目负责人不得有在研的省科技计划项目（含省科技重大专项专题项目、原科技重大项目/重点项目、区域发展项目、高校产学合作项目、对外合作项目、星火项目、引导性项目、自然科学基金项目、创新战略研究项目、科技型中小企业技术创新资金项目及STS项目、中央引导地方项目、成果转化项目、科技创新平台建设项目等）。项目负责人当年度只能申请1个项目，项目结束时负责人年龄不超过60岁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九）项目牵头揭榜单位、项目负责人及课题组成员不得是失信被执行人，不得是列入项目管理资信“严重失信行为记录”且取消申报资格处罚时限未到期。项目申报单位及项目负责人应保证所提供申报项目信息的真实性，并对信息虚假导致的后果承担责任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（十）申请书相关附件（登录福建省科技计划项目管理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信息系统下载）：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1.有合作单位的，应提交合作各方合作协议（包括项目研究开发建设内容及分工、知识产权权属、经费筹措及资助经费分配等），协议书合作各方签字或盖章、落款日期齐全。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2.涉及购置单台价值超过50万元科研仪器设备的项目，另外填报科研仪器设备购置计划表。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3.项目存在科研伦理风险的，应提交伦理审查批件。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5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推荐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各推荐单位推荐项目时，应逐级遴选、认真核实、择优推荐，不得内部指定、简单分配。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同一个榜单项目，推荐单位只能推荐一个团队参与揭榜。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30"/>
        <w:jc w:val="both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 w:bidi="ar-SA"/>
        </w:rPr>
        <w:t>三、申报程序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本批项目网上申报截止时间为2024年9月9日（超过时间将不能提交申请书）。推荐截止时间为2024年9月14日（系统关闭）。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（一）网上申报流程为：申报单位注册登录福建省科技计划项目管理系统(http://xmgl.kjt.fujian.gov.cn/ )─申报管理─增加项目申请书─选择对应指南代码和申请书─填报《福建省科技计划项目申请书》─上传有关附件资料（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合作各方合作协议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科研仪器设备购置计划表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“揭榜挂帅”榜单配套经费承诺等）。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（二）各推荐单位通过省级项目推荐流程进行内部审核，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负责归口对申报材料进行网上推荐，并将推荐函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式1份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、项目申请书及相关附件材料一式8份，逐级签章后由推荐单位汇总，报送我厅相关业务处。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3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、申报代码及联系方式</w:t>
      </w:r>
    </w:p>
    <w:tbl>
      <w:tblPr>
        <w:tblStyle w:val="7"/>
        <w:tblpPr w:leftFromText="180" w:rightFromText="180" w:vertAnchor="text" w:horzAnchor="page" w:tblpX="1761" w:tblpY="123"/>
        <w:tblOverlap w:val="never"/>
        <w:tblW w:w="88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8"/>
        <w:gridCol w:w="1410"/>
        <w:gridCol w:w="2421"/>
        <w:gridCol w:w="2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计划类别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项目类型</w:t>
            </w:r>
          </w:p>
        </w:tc>
        <w:tc>
          <w:tcPr>
            <w:tcW w:w="2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代码</w:t>
            </w:r>
          </w:p>
        </w:tc>
        <w:tc>
          <w:tcPr>
            <w:tcW w:w="2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业务处室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254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年科技特派团服务重点产业链专项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省科技计划引导性项目</w:t>
            </w:r>
          </w:p>
        </w:tc>
        <w:tc>
          <w:tcPr>
            <w:tcW w:w="2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 xml:space="preserve">2024N0301 </w:t>
            </w:r>
          </w:p>
        </w:tc>
        <w:tc>
          <w:tcPr>
            <w:tcW w:w="242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0591-87866133；87881230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wangf@kjt.fujian.gov.cn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附件：2024年福建省科技特派团服务重点产业链“揭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榜挂帅”需求榜单</w:t>
      </w:r>
    </w:p>
    <w:p>
      <w:pPr>
        <w:pStyle w:val="8"/>
        <w:numPr>
          <w:ilvl w:val="0"/>
          <w:numId w:val="0"/>
        </w:numPr>
        <w:autoSpaceDN w:val="0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8"/>
        <w:numPr>
          <w:ilvl w:val="0"/>
          <w:numId w:val="0"/>
        </w:numPr>
        <w:autoSpaceDN w:val="0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8"/>
        <w:numPr>
          <w:ilvl w:val="0"/>
          <w:numId w:val="0"/>
        </w:numPr>
        <w:autoSpaceDN w:val="0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7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福建省科学技术厅     </w:t>
      </w:r>
    </w:p>
    <w:p>
      <w:pPr>
        <w:spacing w:line="600" w:lineRule="exact"/>
        <w:ind w:firstLine="67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67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pStyle w:val="8"/>
        <w:autoSpaceDN w:val="0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0"/>
          <w:numId w:val="0"/>
        </w:numPr>
        <w:autoSpaceDN w:val="0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8"/>
        <w:numPr>
          <w:ilvl w:val="0"/>
          <w:numId w:val="0"/>
        </w:numPr>
        <w:autoSpaceDN w:val="0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/>
          <w:kern w:val="0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50F4"/>
    <w:multiLevelType w:val="singleLevel"/>
    <w:tmpl w:val="66A750F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812A2"/>
    <w:rsid w:val="154169ED"/>
    <w:rsid w:val="16B81168"/>
    <w:rsid w:val="23324647"/>
    <w:rsid w:val="24C812A2"/>
    <w:rsid w:val="2D9D7F27"/>
    <w:rsid w:val="2E6C79CF"/>
    <w:rsid w:val="30536AD2"/>
    <w:rsid w:val="38A467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2024-07-29T07:36:00Z</dcterms:created>
  <dc:creator>lenovo</dc:creator>
  <cp:lastModifiedBy>lenovo</cp:lastModifiedBy>
  <dcterms:modified xsi:type="dcterms:W3CDTF">2024-08-21T02:18:27Z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