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  <w:lang w:eastAsia="zh-CN"/>
              </w:rPr>
            </w:pPr>
            <w:bookmarkStart w:id="0" w:name="PO_fhj"/>
            <w:bookmarkStart w:id="17" w:name="_GoBack"/>
            <w:r>
              <w:rPr>
                <w:rFonts w:hint="eastAsia" w:ascii="黑体" w:hAnsi="黑体" w:eastAsia="黑体"/>
                <w:sz w:val="32"/>
                <w:szCs w:val="36"/>
                <w:lang w:eastAsia="zh-CN"/>
              </w:rPr>
              <w:t xml:space="preserve"> </w:t>
            </w:r>
            <w:bookmarkEnd w:id="0"/>
          </w:p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</w:rPr>
            </w:pPr>
          </w:p>
        </w:tc>
      </w:tr>
      <w:bookmarkEnd w:id="17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</w:pPr>
            <w:bookmarkStart w:id="1" w:name="PO_fhead1"/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福建省财政厅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福建省科学技术厅</w:t>
            </w:r>
            <w:bookmarkEnd w:id="1"/>
          </w:p>
        </w:tc>
        <w:tc>
          <w:tcPr>
            <w:tcW w:w="22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72"/>
                <w:szCs w:val="72"/>
              </w:rPr>
            </w:pPr>
            <w:bookmarkStart w:id="2" w:name="PO_fhead2"/>
            <w:r>
              <w:rPr>
                <w:rFonts w:hint="eastAsia" w:ascii="方正小标宋简体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2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hint="eastAsia" w:ascii="仿宋" w:hAnsi="仿宋" w:eastAsia="仿宋"/>
                <w:lang w:val="en-US" w:eastAsia="zh-CN"/>
              </w:rPr>
            </w:pPr>
            <w:bookmarkStart w:id="3" w:name="PO_fwh"/>
            <w:r>
              <w:rPr>
                <w:rFonts w:hint="eastAsia" w:ascii="仿宋" w:hAnsi="仿宋" w:eastAsia="仿宋"/>
                <w:szCs w:val="36"/>
              </w:rPr>
              <w:t>闽财指〔2024〕660号</w:t>
            </w: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 xml:space="preserve"> </w:t>
            </w:r>
            <w:bookmarkEnd w:id="3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bookmarkStart w:id="4" w:name="PO_fline"/>
            <w:r>
              <w:rPr>
                <w:rFonts w:ascii="仿宋" w:hAnsi="仿宋" w:cs="宋体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5601335" cy="0"/>
                      <wp:effectExtent l="0" t="19050" r="18415" b="19050"/>
                      <wp:wrapTight wrapText="bothSides">
                        <wp:wrapPolygon>
                          <wp:start x="0" y="0"/>
                          <wp:lineTo x="0" y="0"/>
                          <wp:lineTo x="21524" y="0"/>
                          <wp:lineTo x="21524" y="0"/>
                          <wp:lineTo x="0" y="0"/>
                        </wp:wrapPolygon>
                      </wp:wrapTight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1335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1pt;margin-top:3.4pt;height:0pt;width:441.05pt;mso-wrap-distance-left:9pt;mso-wrap-distance-right:9pt;z-index:-251657216;mso-width-relative:page;mso-height-relative:page;" filled="f" stroked="t" coordsize="21600,21600" wrapcoords="0 0 0 0 21524 0 21524 0 0 0" o:gfxdata="UEsDBAoAAAAAAIdO4kAAAAAAAAAAAAAAAAAEAAAAZHJzL1BLAwQUAAAACACHTuJA+w6CY9YAAAAF&#10;AQAADwAAAGRycy9kb3ducmV2LnhtbE2OwUrDQBRF94L/MDzBjbSTRikhZlJEEKtdtKaCuJtmnklo&#10;5k2cmbT173260eXlXs49xeJke3FAHzpHCmbTBARS7UxHjYLX7cMkAxGiJqN7R6jgCwMsyvOzQufG&#10;HekFD1VsBEMo5FpBG+OQSxnqFq0OUzcgcffhvNWRo2+k8frIcNvLNEnm0uqO+KHVA963WO+r0Sqw&#10;a3sn31ePY+U3T89vn6vlZn+1VOryYpbcgoh4in9j+NFndSjZaedGMkH0CtKUhwrm7M9tlt1cg9j9&#10;ZlkW8r99+Q1QSwMEFAAAAAgAh07iQEMAv/D4AQAA5QMAAA4AAABkcnMvZTJvRG9jLnhtbK1TzY7T&#10;MBC+I/EOlu806Vb7o6jpHijlgmClhQeY2k5iyX/yuE37ErwAEjc4ceTO27A8BuOk22V3Lz2QgzP2&#10;jL+Z75vx/HpnDduqiNq7mk8nJWfKCS+1a2v+6ePq1RVnmMBJMN6pmu8V8uvFyxfzPlTqzHfeSBUZ&#10;gTis+lDzLqVQFQWKTlnAiQ/KkbPx0UKibWwLGaEndGuKs7K8KHofZYheKEQ6XY5OfkCMpwD6ptFC&#10;Lb3YWOXSiBqVgUSUsNMB+WKotmmUSB+aBlVipubENA0rJSF7nddiMYeqjRA6LQ4lwCklPOFkQTtK&#10;eoRaQgK2ifoZlNUievRNmghvi5HIoAixmJZPtLntIKiBC0mN4Sg6/j9Y8X57E5mWNb/kzIGlht99&#10;+fn787c/v77SevfjO7vMIvUBK4q9DTfxsEMyM+NdE23+Exe2G4TdH4VVu8QEHZ5flNPZ7Jwzce8r&#10;Hi6GiOmt8pZlo+ZGu8wZKti+w0TJKPQ+JB8bx/qaz66mJfVQAE1gQ50n0wZiga4dLqM3Wq60MfkK&#10;xnb92kS2BZqC1aqkL3Mi4EdhOcsSsBvjBtc4H50C+cZJlvaB9HH0LHiuwSrJmVH0irJFgFAl0OaU&#10;SEptHFWQZR2FzNbayz11YxOibrthVHOV2UPdH+o9TGoer3/3Q9TD61z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OgmPWAAAABQEAAA8AAAAAAAAAAQAgAAAAIgAAAGRycy9kb3ducmV2LnhtbFBL&#10;AQIUABQAAAAIAIdO4kBDAL/w+AEAAOUDAAAOAAAAAAAAAAEAIAAAACUBAABkcnMvZTJvRG9jLnht&#10;bFBLBQYAAAAABgAGAFkBAACP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  <w10:wrap type="tight"/>
                    </v:line>
                  </w:pict>
                </mc:Fallback>
              </mc:AlternateContent>
            </w:r>
            <w:bookmarkEnd w:id="4"/>
          </w:p>
        </w:tc>
      </w:tr>
    </w:tbl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 w:eastAsia="方正小标宋简体" w:cs="宋体"/>
          <w:sz w:val="44"/>
          <w:szCs w:val="44"/>
          <w:lang w:eastAsia="zh-CN"/>
        </w:rPr>
      </w:pPr>
      <w:bookmarkStart w:id="5" w:name="PO_fbt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福建省财政厅  福建省科学技术厅关于安排2024年度省重点实验室运行费（省级）的通知</w:t>
      </w:r>
      <w:bookmarkEnd w:id="5"/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jc w:val="left"/>
        <w:rPr>
          <w:rFonts w:hint="eastAsia" w:ascii="仿宋" w:hAnsi="仿宋" w:eastAsia="仿宋"/>
        </w:rPr>
      </w:pPr>
      <w:bookmarkStart w:id="6" w:name="PO_fzs"/>
      <w:r>
        <w:rPr>
          <w:rFonts w:hint="eastAsia" w:ascii="仿宋" w:hAnsi="仿宋" w:eastAsia="仿宋"/>
          <w:sz w:val="32"/>
          <w:szCs w:val="32"/>
          <w:lang w:eastAsia="zh-CN"/>
        </w:rPr>
        <w:t>省直有关单位</w:t>
      </w:r>
      <w:bookmarkEnd w:id="6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Lines="0" w:afterLines="0" w:line="560" w:lineRule="exact"/>
        <w:ind w:firstLine="632" w:firstLineChars="200"/>
        <w:rPr>
          <w:rFonts w:hint="eastAsia" w:ascii="仿宋" w:hAnsi="仿宋" w:eastAsia="仿宋" w:cs="仿宋"/>
        </w:rPr>
      </w:pPr>
      <w:bookmarkStart w:id="7" w:name="PO_zw"/>
      <w:bookmarkEnd w:id="7"/>
      <w:r>
        <w:rPr>
          <w:rFonts w:hint="eastAsia" w:ascii="仿宋" w:hAnsi="仿宋" w:eastAsia="仿宋" w:cs="仿宋"/>
        </w:rPr>
        <w:t>根据《福建省重点实验室管理实施细则》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（闽科基〔20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</w:rPr>
        <w:t>规定和202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年度省重点实验室考评结果，现将202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年度省重点实验室运行费下达你们（具体分配及支出功能分类科目详见附件1）。该经费由获得补助的重点实验室统筹安排使用，请</w:t>
      </w:r>
      <w:r>
        <w:rPr>
          <w:rFonts w:hint="eastAsia" w:ascii="仿宋" w:hAnsi="仿宋" w:eastAsia="仿宋" w:cs="仿宋"/>
          <w:lang w:eastAsia="zh-CN"/>
        </w:rPr>
        <w:t>按专项资金绩效目标表（详见附件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）等要求，认真组织实施，</w:t>
      </w:r>
      <w:r>
        <w:rPr>
          <w:rFonts w:hint="eastAsia" w:ascii="仿宋" w:hAnsi="仿宋" w:eastAsia="仿宋" w:cs="仿宋"/>
        </w:rPr>
        <w:t>加强</w:t>
      </w:r>
      <w:r>
        <w:rPr>
          <w:rFonts w:hint="eastAsia" w:ascii="仿宋" w:hAnsi="仿宋" w:eastAsia="仿宋" w:cs="仿宋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4598670</wp:posOffset>
            </wp:positionH>
            <wp:positionV relativeFrom="page">
              <wp:posOffset>9622790</wp:posOffset>
            </wp:positionV>
            <wp:extent cx="1892300" cy="444500"/>
            <wp:effectExtent l="0" t="0" r="12700" b="12700"/>
            <wp:wrapNone/>
            <wp:docPr id="6" name="barcode" descr="901100124001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code" descr="901100124001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lang w:eastAsia="zh-CN"/>
        </w:rPr>
        <w:t>资金</w:t>
      </w:r>
      <w:r>
        <w:rPr>
          <w:rFonts w:hint="eastAsia" w:ascii="仿宋" w:hAnsi="仿宋" w:eastAsia="仿宋" w:cs="仿宋"/>
        </w:rPr>
        <w:t>监</w:t>
      </w:r>
      <w:r>
        <w:rPr>
          <w:rFonts w:hint="eastAsia" w:ascii="仿宋" w:hAnsi="仿宋" w:eastAsia="仿宋" w:cs="仿宋"/>
          <w:lang w:eastAsia="zh-CN"/>
        </w:rPr>
        <w:t>管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做好绩效跟踪管理，切实</w:t>
      </w:r>
      <w:r>
        <w:rPr>
          <w:rFonts w:hint="eastAsia" w:ascii="仿宋" w:hAnsi="仿宋" w:eastAsia="仿宋" w:cs="仿宋"/>
        </w:rPr>
        <w:t>提高资金使用效</w:t>
      </w:r>
      <w:r>
        <w:rPr>
          <w:rFonts w:hint="eastAsia" w:ascii="仿宋" w:hAnsi="仿宋" w:eastAsia="仿宋" w:cs="仿宋"/>
          <w:lang w:eastAsia="zh-CN"/>
        </w:rPr>
        <w:t>益</w:t>
      </w:r>
      <w:r>
        <w:rPr>
          <w:rFonts w:hint="eastAsia" w:ascii="仿宋" w:hAnsi="仿宋" w:eastAsia="仿宋" w:cs="仿宋"/>
        </w:rPr>
        <w:t>。</w:t>
      </w:r>
    </w:p>
    <w:p>
      <w:pPr>
        <w:spacing w:beforeLines="0" w:afterLines="0" w:line="560" w:lineRule="exact"/>
        <w:ind w:firstLine="632" w:firstLineChars="200"/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360"/>
        <w:gridCol w:w="7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附件：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085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8" w:name="ffj1"/>
            <w:r>
              <w:rPr>
                <w:rFonts w:hint="eastAsia" w:ascii="仿宋" w:hAnsi="仿宋" w:eastAsia="仿宋" w:cs="仿宋"/>
                <w:sz w:val="3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lang w:eastAsia="zh-CN"/>
              </w:rPr>
              <w:t>年度省重点实验室运行费补助一览表（省级）</w:t>
            </w:r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085" w:type="dxa"/>
            <w:noWrap w:val="0"/>
            <w:vAlign w:val="top"/>
          </w:tcPr>
          <w:p>
            <w:pPr>
              <w:spacing w:beforeLines="0" w:afterLines="0"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lang w:eastAsia="zh-CN"/>
              </w:rPr>
              <w:t>专项资金绩效目标表</w:t>
            </w:r>
          </w:p>
        </w:tc>
      </w:tr>
    </w:tbl>
    <w:p>
      <w:pPr>
        <w:spacing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9" w:name="PO_ffj"/>
      <w:bookmarkEnd w:id="9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0" w:name="PO_fyz"/>
            <w:bookmarkEnd w:id="10"/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1" w:name="PO_fsm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福建省财政厅</w:t>
            </w:r>
            <w:bookmarkEnd w:id="11"/>
          </w:p>
        </w:tc>
        <w:tc>
          <w:tcPr>
            <w:tcW w:w="25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32" w:firstLineChars="2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2" w:name="PO_fsm2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福建省科学技术厅</w:t>
            </w:r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00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bookmarkStart w:id="13" w:name="PO_fqfrq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2024年9月19日</w:t>
            </w:r>
            <w:bookmarkEnd w:id="13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bookmarkStart w:id="14" w:name="PO_ffz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</w:t>
      </w:r>
      <w:bookmarkEnd w:id="14"/>
    </w:p>
    <w:tbl>
      <w:tblPr>
        <w:tblStyle w:val="4"/>
        <w:tblpPr w:leftFromText="180" w:rightFromText="180" w:horzAnchor="margin" w:tblpXSpec="center" w:tblpYSpec="bottom"/>
        <w:tblOverlap w:val="never"/>
        <w:tblW w:w="488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100" w:afterAutospacing="1" w:line="460" w:lineRule="exact"/>
              <w:ind w:right="205" w:rightChars="65" w:firstLine="276" w:firstLineChars="100"/>
              <w:textAlignment w:val="bottom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信息公开类型：</w:t>
            </w:r>
            <w:bookmarkStart w:id="15" w:name="PO_fgklx"/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主动公开</w:t>
            </w:r>
            <w:bookmarkEnd w:id="1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41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100" w:line="460" w:lineRule="exact"/>
              <w:ind w:right="205" w:rightChars="65" w:firstLine="276" w:firstLineChars="1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福建省财政厅办公室</w:t>
            </w:r>
          </w:p>
        </w:tc>
        <w:tc>
          <w:tcPr>
            <w:tcW w:w="2558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ordWrap w:val="0"/>
              <w:spacing w:after="100" w:afterAutospacing="1" w:line="460" w:lineRule="exact"/>
              <w:ind w:right="205" w:rightChars="65" w:firstLine="1104" w:firstLineChars="400"/>
              <w:jc w:val="both"/>
              <w:textAlignment w:val="bottom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16" w:name="PO_fyfrq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2024年9月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日</w:t>
            </w:r>
            <w:bookmarkEnd w:id="16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印发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64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64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0" w:firstLine="0" w:firstLineChars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 w:right="0" w:firstLine="0" w:firstLineChars="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0" w:firstLine="0" w:firstLineChars="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1397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3360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kp5llvkBAADrAwAADgAAAGRycy9lMm9Eb2MueG1srVO9&#10;jhMxEO6ReAfLPdnkTjmhVTZXXAgNgkgcDzCxvVkL/8njZJOX4AWQ6KCipOdtuHsMxt5cDo4mBVt4&#10;x57xN/N9M55d761hOxVRe9fwyWjMmXLCS+02Df9wu3zxkjNM4CQY71TDDwr59fz5s1kfanXhO2+k&#10;ioxAHNZ9aHiXUqirCkWnLODIB+XI2fpoIdE2bioZoSd0a6qL8fiq6n2UIXqhEOl0MTj5ETGeA+jb&#10;Vgu18GJrlUsDalQGElHCTgfk81Jt2yqR3rUtqsRMw4lpKislIXud12o+g3oTIXRaHEuAc0p4wsmC&#10;dpT0BLWABGwb9T9QVovo0bdpJLytBiJFEWIxGT/R5n0HQRUuJDWGk+j4/2DF290qMi0bPuXMgaWG&#10;333+8evT1/ufX2i9+/6NTbNIfcCaYm/cKh53GFYxM9630eY/cWH7IuzhJKzaJybo8GpC7C5Jc/Hg&#10;qx4vhojptfKWZaPhRrvMGWrYvcFEySj0ISQfG8d6QrycjjMe0AS21HkybSAWqdPulnr5sUCgN1ou&#10;tTH5IsbN+sZEtgOahWX5MjOC/yss51oAdkNccQ1T0imQr5xk6RBIJUePg+dKrJKcGUVvKVsECHUC&#10;bc6JpNTGUQVZ3EHObK29PFBPtiHqTUeCTEqV2UMzUOo9zmsesj/3Benxjc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sWATYAAAADAEAAA8AAAAAAAAAAQAgAAAAIgAAAGRycy9kb3ducmV2Lnht&#10;bFBLAQIUABQAAAAIAIdO4kCSnmWW+QEAAOsDAAAOAAAAAAAAAAEAIAAAACcBAABkcnMvZTJvRG9j&#10;LnhtbFBLBQYAAAAABgAGAFkBAACS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3D9D"/>
    <w:rsid w:val="401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2024-09-30T01:23:00Z</dcterms:created>
  <dc:creator>郑湘茹</dc:creator>
  <cp:lastModifiedBy>郑湘茹</cp:lastModifiedBy>
  <dcterms:modified xsi:type="dcterms:W3CDTF">2024-09-30T02:50:29Z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45920C6527F64FA28EB81D2360F24CA5</vt:lpwstr>
  </property>
</Properties>
</file>