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b/>
          <w:sz w:val="44"/>
          <w:szCs w:val="44"/>
        </w:rPr>
      </w:pPr>
    </w:p>
    <w:p>
      <w:pPr>
        <w:spacing w:line="600" w:lineRule="exact"/>
        <w:jc w:val="center"/>
        <w:rPr>
          <w:rFonts w:hint="eastAsia" w:ascii="宋体" w:hAnsi="宋体" w:eastAsia="宋体"/>
          <w:b/>
          <w:sz w:val="44"/>
          <w:szCs w:val="44"/>
        </w:rPr>
      </w:pP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闽科办函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53</w:t>
      </w:r>
      <w:r>
        <w:rPr>
          <w:rFonts w:hint="eastAsia" w:ascii="仿宋" w:hAnsi="仿宋" w:eastAsia="仿宋" w:cs="仿宋"/>
          <w:sz w:val="32"/>
          <w:szCs w:val="32"/>
          <w:lang w:eastAsia="zh-CN"/>
        </w:rPr>
        <w:t>号</w:t>
      </w:r>
    </w:p>
    <w:p>
      <w:pPr>
        <w:jc w:val="center"/>
        <w:rPr>
          <w:rFonts w:hint="eastAsia" w:ascii="仿宋" w:hAnsi="仿宋" w:eastAsia="仿宋" w:cs="仿宋"/>
          <w:sz w:val="32"/>
          <w:szCs w:val="32"/>
          <w:lang w:eastAsia="zh-CN"/>
        </w:rPr>
      </w:pP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fldChar w:fldCharType="begin"/>
      </w:r>
      <w:r>
        <w:rPr>
          <w:rFonts w:hint="eastAsia" w:ascii="方正小标宋简体" w:hAnsi="方正小标宋简体" w:eastAsia="方正小标宋简体" w:cs="方正小标宋简体"/>
          <w:b w:val="0"/>
          <w:bCs/>
          <w:sz w:val="44"/>
          <w:szCs w:val="44"/>
        </w:rPr>
        <w:instrText xml:space="preserve"> MERGEFIELD  文件标题 </w:instrText>
      </w:r>
      <w:r>
        <w:rPr>
          <w:rFonts w:hint="eastAsia" w:ascii="方正小标宋简体" w:hAnsi="方正小标宋简体" w:eastAsia="方正小标宋简体" w:cs="方正小标宋简体"/>
          <w:b w:val="0"/>
          <w:bCs/>
          <w:sz w:val="44"/>
          <w:szCs w:val="44"/>
        </w:rPr>
        <w:fldChar w:fldCharType="separate"/>
      </w:r>
      <w:r>
        <w:rPr>
          <w:rFonts w:hint="eastAsia" w:ascii="方正小标宋简体" w:hAnsi="方正小标宋简体" w:eastAsia="方正小标宋简体" w:cs="方正小标宋简体"/>
          <w:b w:val="0"/>
          <w:bCs/>
          <w:sz w:val="44"/>
          <w:szCs w:val="44"/>
        </w:rPr>
        <w:t>福建省科学技术厅关于印发</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2021</w:t>
      </w:r>
      <w:r>
        <w:rPr>
          <w:rFonts w:hint="eastAsia" w:ascii="方正小标宋简体" w:hAnsi="方正小标宋简体" w:eastAsia="方正小标宋简体" w:cs="方正小标宋简体"/>
          <w:b w:val="0"/>
          <w:bCs/>
          <w:sz w:val="44"/>
          <w:szCs w:val="44"/>
        </w:rPr>
        <w:t>年</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政务公开工作主要任务实施方案》</w:t>
      </w:r>
      <w:r>
        <w:rPr>
          <w:rFonts w:hint="eastAsia" w:ascii="方正小标宋简体" w:hAnsi="方正小标宋简体" w:eastAsia="方正小标宋简体" w:cs="方正小标宋简体"/>
          <w:b w:val="0"/>
          <w:bCs/>
          <w:sz w:val="44"/>
          <w:szCs w:val="44"/>
        </w:rPr>
        <w:t>的通知</w:t>
      </w:r>
      <w:r>
        <w:rPr>
          <w:rFonts w:hint="eastAsia" w:ascii="方正小标宋简体" w:hAnsi="方正小标宋简体" w:eastAsia="方正小标宋简体" w:cs="方正小标宋简体"/>
          <w:b w:val="0"/>
          <w:bCs/>
          <w:sz w:val="44"/>
          <w:szCs w:val="44"/>
        </w:rPr>
        <w:fldChar w:fldCharType="end"/>
      </w:r>
    </w:p>
    <w:p>
      <w:pPr>
        <w:snapToGrid w:val="0"/>
        <w:spacing w:line="600" w:lineRule="exact"/>
        <w:ind w:right="1280"/>
        <w:jc w:val="center"/>
        <w:rPr>
          <w:rFonts w:ascii="黑体" w:eastAsia="黑体"/>
          <w:b/>
          <w:szCs w:val="32"/>
        </w:rPr>
      </w:pPr>
    </w:p>
    <w:p>
      <w:pPr>
        <w:spacing w:line="600" w:lineRule="exact"/>
        <w:rPr>
          <w:rFonts w:hint="eastAsia" w:ascii="仿宋" w:hAnsi="仿宋" w:eastAsia="仿宋" w:cs="仿宋"/>
          <w:sz w:val="32"/>
          <w:szCs w:val="32"/>
        </w:rPr>
      </w:pPr>
      <w:bookmarkStart w:id="0" w:name="BodyEnd"/>
      <w:bookmarkEnd w:id="0"/>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MERGEFIELD 主送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厅机关各处室</w:t>
      </w:r>
      <w:r>
        <w:rPr>
          <w:rFonts w:hint="eastAsia" w:ascii="仿宋" w:hAnsi="仿宋" w:eastAsia="仿宋" w:cs="仿宋"/>
          <w:bCs/>
          <w:sz w:val="32"/>
          <w:szCs w:val="32"/>
          <w:lang w:eastAsia="zh-CN"/>
        </w:rPr>
        <w:t>（局）</w:t>
      </w:r>
      <w:r>
        <w:rPr>
          <w:rFonts w:hint="eastAsia" w:ascii="仿宋" w:hAnsi="仿宋" w:eastAsia="仿宋" w:cs="仿宋"/>
          <w:bCs/>
          <w:sz w:val="32"/>
          <w:szCs w:val="32"/>
        </w:rPr>
        <w:t>、</w:t>
      </w:r>
      <w:r>
        <w:rPr>
          <w:rFonts w:hint="eastAsia" w:ascii="仿宋" w:hAnsi="仿宋" w:eastAsia="仿宋" w:cs="仿宋"/>
          <w:bCs/>
          <w:sz w:val="32"/>
          <w:szCs w:val="32"/>
          <w:lang w:eastAsia="zh-CN"/>
        </w:rPr>
        <w:t>各</w:t>
      </w:r>
      <w:r>
        <w:rPr>
          <w:rFonts w:hint="eastAsia" w:ascii="仿宋" w:hAnsi="仿宋" w:eastAsia="仿宋" w:cs="仿宋"/>
          <w:bCs/>
          <w:sz w:val="32"/>
          <w:szCs w:val="32"/>
        </w:rPr>
        <w:t>直属单位</w:t>
      </w:r>
      <w:r>
        <w:rPr>
          <w:rFonts w:hint="eastAsia" w:ascii="仿宋" w:hAnsi="仿宋" w:eastAsia="仿宋" w:cs="仿宋"/>
          <w:bCs/>
          <w:sz w:val="32"/>
          <w:szCs w:val="32"/>
        </w:rPr>
        <w:fldChar w:fldCharType="end"/>
      </w:r>
      <w:r>
        <w:rPr>
          <w:rFonts w:hint="eastAsia" w:ascii="仿宋" w:hAnsi="仿宋" w:eastAsia="仿宋" w:cs="仿宋"/>
          <w:bCs/>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根据《福建省人民政府办公厅关于印发</w:t>
      </w:r>
      <w:r>
        <w:rPr>
          <w:rFonts w:hint="eastAsia" w:ascii="仿宋" w:hAnsi="仿宋" w:eastAsia="仿宋" w:cs="仿宋"/>
          <w:sz w:val="32"/>
          <w:szCs w:val="32"/>
          <w:lang w:eastAsia="zh-CN"/>
        </w:rPr>
        <w:t>福建省</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全省政务公开工作主要任务分解表的通知</w:t>
      </w:r>
      <w:r>
        <w:rPr>
          <w:rFonts w:hint="eastAsia" w:ascii="仿宋" w:hAnsi="仿宋" w:eastAsia="仿宋" w:cs="仿宋"/>
          <w:sz w:val="32"/>
          <w:szCs w:val="32"/>
        </w:rPr>
        <w:t>》</w:t>
      </w:r>
      <w:r>
        <w:rPr>
          <w:rFonts w:hint="eastAsia" w:ascii="仿宋" w:hAnsi="仿宋" w:eastAsia="仿宋" w:cs="仿宋"/>
          <w:sz w:val="32"/>
          <w:szCs w:val="32"/>
          <w:lang w:eastAsia="zh-CN"/>
        </w:rPr>
        <w:t>要求</w:t>
      </w:r>
      <w:r>
        <w:rPr>
          <w:rFonts w:hint="eastAsia" w:ascii="仿宋" w:hAnsi="仿宋" w:eastAsia="仿宋" w:cs="仿宋"/>
          <w:sz w:val="32"/>
          <w:szCs w:val="32"/>
        </w:rPr>
        <w:t>，为了进一步</w:t>
      </w:r>
      <w:r>
        <w:rPr>
          <w:rFonts w:hint="eastAsia" w:ascii="仿宋" w:hAnsi="仿宋" w:eastAsia="仿宋" w:cs="仿宋"/>
          <w:sz w:val="32"/>
          <w:szCs w:val="32"/>
          <w:lang w:eastAsia="zh-CN"/>
        </w:rPr>
        <w:t>推进</w:t>
      </w:r>
      <w:r>
        <w:rPr>
          <w:rFonts w:hint="eastAsia" w:ascii="仿宋" w:hAnsi="仿宋" w:eastAsia="仿宋" w:cs="仿宋"/>
          <w:sz w:val="32"/>
          <w:szCs w:val="32"/>
        </w:rPr>
        <w:t>政务公开工作，经研究，制定《福建省科学技术厅</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政务公开工作主要任务实施方案</w:t>
      </w:r>
      <w:r>
        <w:rPr>
          <w:rFonts w:hint="eastAsia" w:ascii="仿宋" w:hAnsi="仿宋" w:eastAsia="仿宋" w:cs="仿宋"/>
          <w:sz w:val="32"/>
          <w:szCs w:val="32"/>
        </w:rPr>
        <w:t>》。现印发给你们，请认真组织实施。</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wordWrap w:val="0"/>
        <w:ind w:right="640"/>
        <w:jc w:val="center"/>
        <w:rPr>
          <w:rFonts w:hint="eastAsia" w:ascii="仿宋" w:hAnsi="仿宋" w:eastAsia="仿宋" w:cs="仿宋"/>
          <w:sz w:val="32"/>
          <w:szCs w:val="32"/>
        </w:rPr>
      </w:pPr>
      <w:r>
        <w:rPr>
          <w:rFonts w:hint="eastAsia" w:ascii="仿宋" w:hAnsi="仿宋" w:eastAsia="仿宋" w:cs="仿宋"/>
          <w:sz w:val="32"/>
          <w:szCs w:val="32"/>
        </w:rPr>
        <w:t xml:space="preserve">                        福建省科学技术厅</w:t>
      </w:r>
    </w:p>
    <w:p>
      <w:pPr>
        <w:wordWrap w:val="0"/>
        <w:ind w:right="64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2021</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 xml:space="preserve">日    </w:t>
      </w:r>
    </w:p>
    <w:p>
      <w:pPr>
        <w:rPr>
          <w:rFonts w:hint="eastAsia" w:ascii="仿宋" w:hAnsi="仿宋" w:eastAsia="仿宋" w:cs="仿宋"/>
          <w:sz w:val="32"/>
          <w:szCs w:val="32"/>
        </w:rPr>
      </w:pPr>
      <w:r>
        <w:rPr>
          <w:rFonts w:hint="eastAsia" w:ascii="仿宋" w:hAnsi="仿宋" w:eastAsia="仿宋" w:cs="仿宋"/>
          <w:sz w:val="32"/>
          <w:szCs w:val="32"/>
        </w:rPr>
        <w:t xml:space="preserve">    （此件主动公开）</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sectPr>
          <w:headerReference r:id="rId3" w:type="default"/>
          <w:footerReference r:id="rId4" w:type="default"/>
          <w:pgSz w:w="11906" w:h="16838"/>
          <w:pgMar w:top="1440" w:right="1803" w:bottom="1440" w:left="1803" w:header="851" w:footer="992" w:gutter="0"/>
          <w:cols w:space="0" w:num="1"/>
          <w:rtlGutter w:val="0"/>
          <w:docGrid w:type="lines" w:linePitch="319"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抄送：厅领导，驻厅纪检监察组。</w:t>
      </w:r>
    </w:p>
    <w:p>
      <w:pPr>
        <w:widowControl/>
        <w:shd w:val="clear" w:color="auto" w:fill="FFFFFF"/>
        <w:jc w:val="cente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福建省科学技术厅</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2021年</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政务公开</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工作</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主要</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任务</w:t>
      </w: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实施方案</w:t>
      </w:r>
    </w:p>
    <w:tbl>
      <w:tblPr>
        <w:tblStyle w:val="6"/>
        <w:tblpPr w:leftFromText="180" w:rightFromText="180" w:vertAnchor="text" w:horzAnchor="page" w:tblpX="1798" w:tblpY="972"/>
        <w:tblOverlap w:val="never"/>
        <w:tblW w:w="14172" w:type="dxa"/>
        <w:tblInd w:w="0" w:type="dxa"/>
        <w:shd w:val="clear" w:color="auto" w:fill="auto"/>
        <w:tblLayout w:type="fixed"/>
        <w:tblCellMar>
          <w:top w:w="15" w:type="dxa"/>
          <w:left w:w="15" w:type="dxa"/>
          <w:bottom w:w="15" w:type="dxa"/>
          <w:right w:w="15" w:type="dxa"/>
        </w:tblCellMar>
      </w:tblPr>
      <w:tblGrid>
        <w:gridCol w:w="3444"/>
        <w:gridCol w:w="7329"/>
        <w:gridCol w:w="3399"/>
      </w:tblGrid>
      <w:tr>
        <w:tblPrEx>
          <w:shd w:val="clear" w:color="auto" w:fill="auto"/>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val="en-US" w:eastAsia="zh-CN" w:bidi="ar"/>
                <w14:textFill>
                  <w14:solidFill>
                    <w14:schemeClr w14:val="tx1"/>
                  </w14:solidFill>
                </w14:textFill>
              </w:rPr>
              <w:t>工   作   任   务</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lang w:val="en-US" w:eastAsia="zh-CN" w:bidi="ar"/>
                <w14:textFill>
                  <w14:solidFill>
                    <w14:schemeClr w14:val="tx1"/>
                  </w14:solidFill>
                </w14:textFill>
              </w:rPr>
              <w:t>工 作 要 求</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val="en-US" w:eastAsia="zh-CN" w:bidi="ar"/>
                <w14:textFill>
                  <w14:solidFill>
                    <w14:schemeClr w14:val="tx1"/>
                  </w14:solidFill>
                </w14:textFill>
              </w:rPr>
              <w:t>责  任  部 门</w:t>
            </w:r>
          </w:p>
        </w:tc>
      </w:tr>
      <w:tr>
        <w:tblPrEx>
          <w:tblLayout w:type="fixed"/>
          <w:tblCellMar>
            <w:top w:w="15" w:type="dxa"/>
            <w:left w:w="15" w:type="dxa"/>
            <w:bottom w:w="15" w:type="dxa"/>
            <w:right w:w="15" w:type="dxa"/>
          </w:tblCellMar>
        </w:tblPrEx>
        <w:trPr>
          <w:cantSplit/>
          <w:trHeight w:val="541"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val="0"/>
                <w:color w:val="000000" w:themeColor="text1"/>
                <w:kern w:val="0"/>
                <w:sz w:val="32"/>
                <w:szCs w:val="32"/>
                <w:lang w:val="en-US" w:eastAsia="zh-CN" w:bidi="ar"/>
                <w14:textFill>
                  <w14:solidFill>
                    <w14:schemeClr w14:val="tx1"/>
                  </w14:solidFill>
                </w14:textFill>
              </w:rPr>
              <w:t xml:space="preserve">                       </w:t>
            </w:r>
            <w:r>
              <w:rPr>
                <w:rFonts w:hint="eastAsia" w:ascii="方正小标宋简体" w:hAnsi="方正小标宋简体" w:eastAsia="方正小标宋简体" w:cs="方正小标宋简体"/>
                <w:b/>
                <w:bCs w:val="0"/>
                <w:color w:val="000000" w:themeColor="text1"/>
                <w:kern w:val="0"/>
                <w:sz w:val="32"/>
                <w:szCs w:val="32"/>
                <w:lang w:val="en-US" w:eastAsia="zh-CN" w:bidi="ar"/>
                <w14:textFill>
                  <w14:solidFill>
                    <w14:schemeClr w14:val="tx1"/>
                  </w14:solidFill>
                </w14:textFill>
              </w:rPr>
              <w:t>一、紧扣“十四五”开好局起好步深化政务公开</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（一）做好各类规划主动公开</w:t>
            </w:r>
          </w:p>
        </w:tc>
      </w:tr>
      <w:tr>
        <w:tblPrEx>
          <w:tblLayout w:type="fixed"/>
          <w:tblCellMar>
            <w:top w:w="15" w:type="dxa"/>
            <w:left w:w="15" w:type="dxa"/>
            <w:bottom w:w="15" w:type="dxa"/>
            <w:right w:w="15" w:type="dxa"/>
          </w:tblCellMar>
        </w:tblPrEx>
        <w:trPr>
          <w:cantSplit/>
          <w:trHeight w:val="141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1.主动公开科技相关规划，引导全社会关心支持规划实施工作。</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按照“应公开尽公开”原则，公开与民众息息相关的非秘科技规划。</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规划与政策处牵头，各处室（局）及直属单位配合</w:t>
            </w: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p>
        </w:tc>
      </w:tr>
      <w:tr>
        <w:tblPrEx>
          <w:tblLayout w:type="fixed"/>
          <w:tblCellMar>
            <w:top w:w="15" w:type="dxa"/>
            <w:left w:w="15" w:type="dxa"/>
            <w:bottom w:w="15" w:type="dxa"/>
            <w:right w:w="15" w:type="dxa"/>
          </w:tblCellMar>
        </w:tblPrEx>
        <w:trPr>
          <w:cantSplit/>
          <w:trHeight w:val="540"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（二）做好市场规则标准和监管执法信息公开</w:t>
            </w:r>
          </w:p>
        </w:tc>
      </w:tr>
      <w:tr>
        <w:tblPrEx>
          <w:tblLayout w:type="fixed"/>
          <w:tblCellMar>
            <w:top w:w="15" w:type="dxa"/>
            <w:left w:w="15" w:type="dxa"/>
            <w:bottom w:w="15" w:type="dxa"/>
            <w:right w:w="15" w:type="dxa"/>
          </w:tblCellMar>
        </w:tblPrEx>
        <w:trPr>
          <w:cantSplit/>
          <w:trHeight w:val="141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1.加强监管执法信息公开。</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加强对科技计划项目和经费执行情况的监管公开，进一步完善科研诚信监督约束机制。</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监督处牵头，各处室（局）及直属单位配合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（三）做好财政信息公开</w:t>
            </w:r>
          </w:p>
        </w:tc>
      </w:tr>
      <w:tr>
        <w:tblPrEx>
          <w:tblLayout w:type="fixed"/>
          <w:tblCellMar>
            <w:top w:w="15" w:type="dxa"/>
            <w:left w:w="15" w:type="dxa"/>
            <w:bottom w:w="15" w:type="dxa"/>
            <w:right w:w="15" w:type="dxa"/>
          </w:tblCellMar>
        </w:tblPrEx>
        <w:trPr>
          <w:cantSplit/>
          <w:trHeight w:val="141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1.稳步扩大预决算公开范围。</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推进部门所属单位预算、决算及相关报表公开。</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资配处牵头，各处室（局）及直属单位配合</w:t>
            </w:r>
          </w:p>
        </w:tc>
      </w:tr>
      <w:tr>
        <w:tblPrEx>
          <w:tblLayout w:type="fixed"/>
          <w:tblCellMar>
            <w:top w:w="15" w:type="dxa"/>
            <w:left w:w="15" w:type="dxa"/>
            <w:bottom w:w="15" w:type="dxa"/>
            <w:right w:w="15" w:type="dxa"/>
          </w:tblCellMar>
        </w:tblPrEx>
        <w:trPr>
          <w:cantSplit/>
          <w:trHeight w:val="90"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2.加大惠民惠农惠企政策和资金发放信息公开力度。</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做好惠民惠农惠企资金发放信息公开工作。推动补贴</w:t>
            </w:r>
            <w:bookmarkStart w:id="1" w:name="_GoBack"/>
            <w:bookmarkEnd w:id="1"/>
            <w:r>
              <w:rPr>
                <w:rFonts w:hint="eastAsia" w:ascii="仿宋" w:hAnsi="仿宋" w:eastAsia="仿宋" w:cs="仿宋"/>
                <w:color w:val="000000" w:themeColor="text1"/>
                <w:kern w:val="0"/>
                <w:sz w:val="32"/>
                <w:szCs w:val="32"/>
                <w:lang w:val="en-US" w:eastAsia="zh-CN" w:bidi="ar"/>
                <w14:textFill>
                  <w14:solidFill>
                    <w14:schemeClr w14:val="tx1"/>
                  </w14:solidFill>
                </w14:textFill>
              </w:rPr>
              <w:t>信息公开向村和社区延伸，与村（居）务公开有效衔接。</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资配处、农村处、星火办牵头，各处室（局）及直属单位配合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（四）做好常态化疫情防控信息公开</w:t>
            </w:r>
          </w:p>
        </w:tc>
      </w:tr>
      <w:tr>
        <w:tblPrEx>
          <w:tblLayout w:type="fixed"/>
          <w:tblCellMar>
            <w:top w:w="15" w:type="dxa"/>
            <w:left w:w="15" w:type="dxa"/>
            <w:bottom w:w="15" w:type="dxa"/>
            <w:right w:w="15" w:type="dxa"/>
          </w:tblCellMar>
        </w:tblPrEx>
        <w:trPr>
          <w:cantSplit/>
          <w:trHeight w:val="1791"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1.增强新冠肺炎疫情防控信息发布的及时性针对性。</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根据常态化疫情防控要求，围绕疫苗研发、冷链消杀、科研攻关等，及时发布权威信息。加强疫苗科普宣传，引导公众科学认识疫苗接种的异常反应。</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社发处、外专局牵头，各处室（局）及直属单位配合</w:t>
            </w:r>
          </w:p>
        </w:tc>
      </w:tr>
      <w:tr>
        <w:tblPrEx>
          <w:tblLayout w:type="fixed"/>
          <w:tblCellMar>
            <w:top w:w="15" w:type="dxa"/>
            <w:left w:w="15" w:type="dxa"/>
            <w:bottom w:w="15" w:type="dxa"/>
            <w:right w:w="15" w:type="dxa"/>
          </w:tblCellMar>
        </w:tblPrEx>
        <w:trPr>
          <w:cantSplit/>
          <w:trHeight w:val="1815"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2.提高新冠肺炎疫情防控信息发布规范化水平。</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发布社会关注的重大政策、内容敏感的重要信息前，加强统筹协调，在实事求是的前提下，强化系统内部信息整合，统一步调对外发声。</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社发处牵头，各处室（局）及直属单位配合</w:t>
            </w:r>
          </w:p>
        </w:tc>
      </w:tr>
      <w:tr>
        <w:tblPrEx>
          <w:tblLayout w:type="fixed"/>
          <w:tblCellMar>
            <w:top w:w="15" w:type="dxa"/>
            <w:left w:w="15" w:type="dxa"/>
            <w:bottom w:w="15" w:type="dxa"/>
            <w:right w:w="15" w:type="dxa"/>
          </w:tblCellMar>
        </w:tblPrEx>
        <w:trPr>
          <w:cantSplit/>
          <w:trHeight w:val="2041"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3.做好爱国卫生运动、健康中国行动等相关工作的信息公开。</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大力开展健康科普，引导公众建立“每个人是自己健康第一责任人”的意识，树立健康生活理念，保持疫情防控中形成的良好生活方式，不断提高公民的健康素养。</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办公室、外专局牵头，各处室（局）及直属单位配合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val="0"/>
                <w:color w:val="000000" w:themeColor="text1"/>
                <w:kern w:val="0"/>
                <w:sz w:val="32"/>
                <w:szCs w:val="32"/>
                <w:lang w:val="en-US" w:eastAsia="zh-CN" w:bidi="ar"/>
                <w14:textFill>
                  <w14:solidFill>
                    <w14:schemeClr w14:val="tx1"/>
                  </w14:solidFill>
                </w14:textFill>
              </w:rPr>
              <w:t>二、紧扣宏观政策落地见效深化政务公开</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（一）持续加强重大政策发布解读</w:t>
            </w:r>
          </w:p>
        </w:tc>
      </w:tr>
      <w:tr>
        <w:tblPrEx>
          <w:tblLayout w:type="fixed"/>
          <w:tblCellMar>
            <w:top w:w="15" w:type="dxa"/>
            <w:left w:w="15" w:type="dxa"/>
            <w:bottom w:w="15" w:type="dxa"/>
            <w:right w:w="15" w:type="dxa"/>
          </w:tblCellMar>
        </w:tblPrEx>
        <w:trPr>
          <w:cantSplit/>
          <w:trHeight w:val="4640"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1.以扎实做好“六稳”工作、全面落实“六保”任务以及统筹抓好“五促一保一防一控”工作为重点，做好政策解读发布工作。</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及时发布保持宏观政策连续性稳定性可持续性、促进经济运行在合理区间，深入推进重点领域改革、更大激发市场主体活力，依靠创新推动实体经济高质量发展、培育壮大新动能，坚持扩大内需战略基点、充分挖掘国内市场潜力，全面实施乡村振兴战略，实行高水平对外开放，加强污染防治和生态建设，切实增进民生福祉，以及促生产、促消费、促项目建设、促外经贸、促旅游、保基本、防风险、控疫情等方面出台的重大政策，及时发布权威信息，开展深入解读。</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高新处、农村处、对外合作处、星火办牵头，各处室（局）及直属单位配合</w:t>
            </w:r>
          </w:p>
        </w:tc>
      </w:tr>
      <w:tr>
        <w:tblPrEx>
          <w:tblLayout w:type="fixed"/>
          <w:tblCellMar>
            <w:top w:w="15" w:type="dxa"/>
            <w:left w:w="15" w:type="dxa"/>
            <w:bottom w:w="15" w:type="dxa"/>
            <w:right w:w="15" w:type="dxa"/>
          </w:tblCellMar>
        </w:tblPrEx>
        <w:trPr>
          <w:cantSplit/>
          <w:trHeight w:val="3542"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2.做好门户网站政策文件解读发布工作。</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按照《福建省人民政府办公厅关于进一步加强省政府门户网站政策文件解读发布工作的通知》（闽政办函〔2021〕20号）要求，按照“谁起草，谁解读”原则，明确解读责任，落实解读机制，对政策文件做到应解读、尽解读。解读方案、解读材料与政策文件同步组织、同步审签、同步部署，有效引导预期，为实现今年经济社会发展主要预期目标营造良好氛围。 </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规划与政策处牵头，各处室（局）及直属单位配合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（二）不断改进政策解读工作方式</w:t>
            </w:r>
          </w:p>
        </w:tc>
      </w:tr>
      <w:tr>
        <w:tblPrEx>
          <w:tblLayout w:type="fixed"/>
          <w:tblCellMar>
            <w:top w:w="15" w:type="dxa"/>
            <w:left w:w="15" w:type="dxa"/>
            <w:bottom w:w="15" w:type="dxa"/>
            <w:right w:w="15" w:type="dxa"/>
          </w:tblCellMar>
        </w:tblPrEx>
        <w:trPr>
          <w:cantSplit/>
          <w:trHeight w:val="3286"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1.加强政策咨询服务。</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畅通政策咨询渠道，用好“政企直通车”“12345热线”等平台，积极解答政策执行机关和企业、群众的咨询。有条件的地方可在实体服务大厅和政府网站，设立政策咨询综合服务窗口，为企业和群众提供“一号答”“一站式”的政策咨询服务。</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2.创新解读形式。</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善于运用图表、动画、音频、视频、H5等形式开展解读，加快形成各地区各部门协同联动、对接共享的政策问答体系，增强政策解读效果。</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规划与政策处牵头，各处室（局）及直属单位配合</w:t>
            </w:r>
          </w:p>
        </w:tc>
      </w:tr>
      <w:tr>
        <w:tblPrEx>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3.积极采取新闻发布会形式做好重要政策文件的解读发布工作。</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依法依规公开适合新闻发布的、重大的政务信息及政策解读等，包括重要战略规划、重大决策、重要政策、重要法规规章制度出台及执行情况，一个时期内经济社会发展情况等。</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4.提升解读工作质量。</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注重对政策背景、出台目的、重要举措等方面的实质性解读，避免简单精简或摘抄政策文件，增强解读针对性，使用深入浅出、通俗易懂的语言，让群众能接受、广知晓、会运用、多受益。</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规划与政策处牵头，各处室（局）及直属单位配合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（三）切实增强回应关切效果</w:t>
            </w:r>
          </w:p>
        </w:tc>
      </w:tr>
      <w:tr>
        <w:tblPrEx>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1.加强舆情回应台账管理。</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紧紧围绕政务舆情背后的实际问题，以解决问题的具体举措实质性回应社会关切。认真核查已作出的承诺落实及公开情况，切实维护政府公信力。</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1663"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w:t>
            </w:r>
            <w:r>
              <w:rPr>
                <w:rFonts w:hint="eastAsia" w:ascii="仿宋" w:hAnsi="仿宋" w:eastAsia="仿宋" w:cs="仿宋"/>
                <w:color w:val="000000" w:themeColor="text1"/>
                <w:spacing w:val="-6"/>
                <w:kern w:val="0"/>
                <w:sz w:val="32"/>
                <w:szCs w:val="32"/>
                <w:lang w:val="en-US" w:eastAsia="zh-CN" w:bidi="ar"/>
                <w14:textFill>
                  <w14:solidFill>
                    <w14:schemeClr w14:val="tx1"/>
                  </w14:solidFill>
                </w14:textFill>
              </w:rPr>
              <w:t>.及时了解掌握政策执行效果。</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通过网上调研等方式，了解掌握社会公众对政策执行效果的反馈与评价，主动回应存在的共性问题，助力政策完善。</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1562"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3.密切关注、及时回应重点舆情</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重点关注涉及疫情防控、疫苗研发、冷链消杀等与科技创新和科研攻关相关的舆情并及时作出回应。</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val="0"/>
                <w:color w:val="000000" w:themeColor="text1"/>
                <w:kern w:val="0"/>
                <w:sz w:val="32"/>
                <w:szCs w:val="32"/>
                <w:lang w:val="en-US" w:eastAsia="zh-CN" w:bidi="ar"/>
                <w14:textFill>
                  <w14:solidFill>
                    <w14:schemeClr w14:val="tx1"/>
                  </w14:solidFill>
                </w14:textFill>
              </w:rPr>
              <w:t xml:space="preserve">三、紧扣强基础抓基层深化政务公开 </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（一）做好政务信息管理工作</w:t>
            </w:r>
          </w:p>
        </w:tc>
      </w:tr>
      <w:tr>
        <w:tblPrEx>
          <w:tblLayout w:type="fixed"/>
          <w:tblCellMar>
            <w:top w:w="15" w:type="dxa"/>
            <w:left w:w="15" w:type="dxa"/>
            <w:bottom w:w="15" w:type="dxa"/>
            <w:right w:w="15" w:type="dxa"/>
          </w:tblCellMar>
        </w:tblPrEx>
        <w:trPr>
          <w:cantSplit/>
          <w:trHeight w:val="1750"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1.及时更新本机关网站行政法规文本。</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用好行政法规集中统一公开成果，对照中国政府法制信息网行政法规库公布的行政法规国家正式版本，更新本机关网站上的行政法规文本。</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规划与政策处牵头，各处室（局）及直属单位配合</w:t>
            </w: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p>
        </w:tc>
      </w:tr>
      <w:tr>
        <w:tblPrEx>
          <w:tblLayout w:type="fixed"/>
          <w:tblCellMar>
            <w:top w:w="15" w:type="dxa"/>
            <w:left w:w="15" w:type="dxa"/>
            <w:bottom w:w="15" w:type="dxa"/>
            <w:right w:w="15" w:type="dxa"/>
          </w:tblCellMar>
        </w:tblPrEx>
        <w:trPr>
          <w:cantSplit/>
          <w:trHeight w:val="1900"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kern w:val="0"/>
                <w:sz w:val="32"/>
                <w:szCs w:val="32"/>
                <w:lang w:val="en-US" w:eastAsia="zh-CN" w:bidi="ar"/>
                <w14:textFill>
                  <w14:solidFill>
                    <w14:schemeClr w14:val="tx1"/>
                  </w14:solidFill>
                </w14:textFill>
              </w:rPr>
              <w:t>2.系统梳理本机关规范性文件。</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梳理本机关制发的现行有效规范性文件，按照“放管服”改革要求及时立改废，集中统一对外公开并动态更新，有效解决底数不清问题。</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规划与政策处牵头，各处室（局）及直属单位配合</w:t>
            </w: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（二）完善政务公开平台</w:t>
            </w:r>
          </w:p>
        </w:tc>
      </w:tr>
      <w:tr>
        <w:tblPrEx>
          <w:tblLayout w:type="fixed"/>
          <w:tblCellMar>
            <w:top w:w="15" w:type="dxa"/>
            <w:left w:w="15" w:type="dxa"/>
            <w:bottom w:w="15" w:type="dxa"/>
            <w:right w:w="15" w:type="dxa"/>
          </w:tblCellMar>
        </w:tblPrEx>
        <w:trPr>
          <w:cantSplit/>
          <w:trHeight w:val="2212"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1.推行政府网站集约化建设。</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强化数字赋能，构建网上政府的数据底座，推动公开、互动、服务融合发展，推动更多政务服务事项网上办、掌上办、一次办，实现一网通查、一网通答、一网通办、一网通管。</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1401"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2.健全政务新媒体监管机制。</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针对政务新媒体建设一哄而上、重复建设、“娱乐化”“空壳”等问题有序开展清理整合。</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1800"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3.开展政府信息公开专栏建设情况专项检查。</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政府信息公开专栏应完成规范化改造，统一名称和格式，实现法定内容全部公开到位。对未按要求完成的，依据有关规定督促整改、通报批评。</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办公室牵头，信息所配合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（三）推进基层政务公开标准化规范化</w:t>
            </w:r>
          </w:p>
        </w:tc>
      </w:tr>
      <w:tr>
        <w:tblPrEx>
          <w:tblLayout w:type="fixed"/>
          <w:tblCellMar>
            <w:top w:w="15" w:type="dxa"/>
            <w:left w:w="15" w:type="dxa"/>
            <w:bottom w:w="15" w:type="dxa"/>
            <w:right w:w="15" w:type="dxa"/>
          </w:tblCellMar>
        </w:tblPrEx>
        <w:trPr>
          <w:cantSplit/>
          <w:trHeight w:val="1873"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1.及时完善基层政务公开省级标准指引。</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跟踪国务院各领域及省政府基层政务公开标准指引出台和调整完善情况，发布（修订）对应标准指引。</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val="0"/>
                <w:color w:val="000000" w:themeColor="text1"/>
                <w:kern w:val="0"/>
                <w:sz w:val="32"/>
                <w:szCs w:val="32"/>
                <w:lang w:val="en-US" w:eastAsia="zh-CN" w:bidi="ar"/>
                <w14:textFill>
                  <w14:solidFill>
                    <w14:schemeClr w14:val="tx1"/>
                  </w14:solidFill>
                </w14:textFill>
              </w:rPr>
              <w:t xml:space="preserve">四、紧扣政府信息公开条例实施深化政务公开 </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（一）提高依申请公开工作质量</w:t>
            </w:r>
          </w:p>
        </w:tc>
      </w:tr>
      <w:tr>
        <w:tblPrEx>
          <w:tblLayout w:type="fixed"/>
          <w:tblCellMar>
            <w:top w:w="15" w:type="dxa"/>
            <w:left w:w="15" w:type="dxa"/>
            <w:bottom w:w="15" w:type="dxa"/>
            <w:right w:w="15" w:type="dxa"/>
          </w:tblCellMar>
        </w:tblPrEx>
        <w:trPr>
          <w:cantSplit/>
          <w:trHeight w:val="2788"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1.完善政府信息公开申请办理工作机制。</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切实转变观念，强化服务理念，把依申请公开工作作为服务人民群众生产生活、支持市场主体创业创新的重要方式，畅通线上、线下申请渠道，完善政府公开申请登记、审核、办理、答复归档等办理制度，更好满足申请人对政府信息的个性化合理需求。</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办公室、档案馆牵头，各处室（局）及直属单位配合</w:t>
            </w:r>
          </w:p>
        </w:tc>
      </w:tr>
      <w:tr>
        <w:tblPrEx>
          <w:tblLayout w:type="fixed"/>
          <w:tblCellMar>
            <w:top w:w="15" w:type="dxa"/>
            <w:left w:w="15" w:type="dxa"/>
            <w:bottom w:w="15" w:type="dxa"/>
            <w:right w:w="15" w:type="dxa"/>
          </w:tblCellMar>
        </w:tblPrEx>
        <w:trPr>
          <w:cantSplit/>
          <w:trHeight w:val="1351"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2.提升答复文书规范化水平。</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加强业务培训和案例指导，规范答复文书格式，增强答复的针对性。</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办公室、档案馆牵头，各处室（局）及直属单位配合</w:t>
            </w:r>
          </w:p>
        </w:tc>
      </w:tr>
      <w:tr>
        <w:tblPrEx>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3.依法落实信息处理费有关规定。</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正确适用《政府信息公开信息处理费管理办法》和省财政厅《关于做好政府信息公开信息处理费收入收缴管理有关事项的通知》（闽财非税函〔2021〕1号），严格依照规定的标准、程序、方式计收信息处理费。 </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办公室、档案馆牵头，各处室（局）及直属单位配合</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（二）规范政府信息公开行政复议案件审理标准</w:t>
            </w:r>
          </w:p>
        </w:tc>
      </w:tr>
      <w:tr>
        <w:tblPrEx>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1.跟踪落实政府信息公开行政复议案件审理标准。</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及时跟踪国务院及省政府行政复议机构出台的政府信息公开行政复议案件审理规范，统一案件审理标准，避免同案不同判问题。</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规划与政策处牵头，各处室（局）及直属单位配合</w:t>
            </w:r>
            <w:r>
              <w:rPr>
                <w:rFonts w:hint="eastAsia" w:ascii="仿宋" w:hAnsi="仿宋" w:eastAsia="仿宋" w:cs="仿宋"/>
                <w:color w:val="000000" w:themeColor="text1"/>
                <w:kern w:val="0"/>
                <w:sz w:val="32"/>
                <w:szCs w:val="32"/>
                <w:lang w:val="en-US" w:eastAsia="zh-CN" w:bidi="ar"/>
                <w14:textFill>
                  <w14:solidFill>
                    <w14:schemeClr w14:val="tx1"/>
                  </w14:solidFill>
                </w14:textFill>
              </w:rPr>
              <w:t> </w:t>
            </w:r>
          </w:p>
        </w:tc>
      </w:tr>
      <w:tr>
        <w:tblPrEx>
          <w:tblLayout w:type="fixed"/>
          <w:tblCellMar>
            <w:top w:w="15" w:type="dxa"/>
            <w:left w:w="15" w:type="dxa"/>
            <w:bottom w:w="15" w:type="dxa"/>
            <w:right w:w="15" w:type="dxa"/>
          </w:tblCellMar>
        </w:tblPrEx>
        <w:trPr>
          <w:cantSplit/>
          <w:trHeight w:val="567" w:hRule="atLeast"/>
        </w:trPr>
        <w:tc>
          <w:tcPr>
            <w:tcW w:w="1417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（三）加强配套制度建设</w:t>
            </w:r>
          </w:p>
        </w:tc>
      </w:tr>
      <w:tr>
        <w:tblPrEx>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1.跟踪落实公共企事业单位信息公开制度。</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履行主管部门职责，督促公共企事业单位及时跟踪本领域企事业单位信息公开规定，优化公共服务。</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r>
        <w:tblPrEx>
          <w:tblLayout w:type="fixed"/>
          <w:tblCellMar>
            <w:top w:w="15" w:type="dxa"/>
            <w:left w:w="15" w:type="dxa"/>
            <w:bottom w:w="15" w:type="dxa"/>
            <w:right w:w="15" w:type="dxa"/>
          </w:tblCellMar>
        </w:tblPrEx>
        <w:trPr>
          <w:cantSplit/>
          <w:trHeight w:val="567" w:hRule="atLeast"/>
        </w:trPr>
        <w:tc>
          <w:tcPr>
            <w:tcW w:w="34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2.规范政府信息公开工作年度报告编制发布工作。</w:t>
            </w:r>
          </w:p>
        </w:tc>
        <w:tc>
          <w:tcPr>
            <w:tcW w:w="732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both"/>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跟踪落实全国政府信息公开工作年度报告格式修订情况，依法依规做好年度报告编制发布工作。</w:t>
            </w:r>
          </w:p>
        </w:tc>
        <w:tc>
          <w:tcPr>
            <w:tcW w:w="33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left"/>
              <w:textAlignment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办公室牵头，各处室（局）及直属单位配合</w:t>
            </w:r>
          </w:p>
        </w:tc>
      </w:tr>
    </w:tbl>
    <w:p>
      <w:pPr>
        <w:keepNext w:val="0"/>
        <w:keepLines w:val="0"/>
        <w:widowControl w:val="0"/>
        <w:suppressLineNumbers w:val="0"/>
        <w:adjustRightInd w:val="0"/>
        <w:spacing w:before="298" w:beforeLines="50" w:beforeAutospacing="0" w:after="453" w:afterLines="76" w:afterAutospacing="0" w:line="540" w:lineRule="exact"/>
        <w:ind w:left="0" w:leftChars="0" w:right="0" w:rightChars="0" w:firstLine="0" w:firstLineChars="0"/>
        <w:jc w:val="center"/>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fill="FFFFFF"/>
          <w:vertAlign w:val="baseline"/>
          <w:lang w:val="en-US" w:eastAsia="zh-CN" w:bidi="ar"/>
          <w14:textFill>
            <w14:solidFill>
              <w14:schemeClr w14:val="tx1"/>
            </w14:solidFill>
          </w14:textFill>
        </w:rPr>
        <w:t> </w:t>
      </w:r>
    </w:p>
    <w:p>
      <w:pPr>
        <w:ind w:firstLine="640" w:firstLineChars="200"/>
        <w:rPr>
          <w:rFonts w:hint="eastAsia" w:ascii="仿宋_GB2312" w:eastAsia="仿宋_GB2312"/>
          <w:sz w:val="32"/>
          <w:szCs w:val="32"/>
        </w:rPr>
      </w:pPr>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Dotum">
    <w:panose1 w:val="020B0600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32"/>
    <w:rsid w:val="000026D0"/>
    <w:rsid w:val="00010F0C"/>
    <w:rsid w:val="000133B9"/>
    <w:rsid w:val="00013A89"/>
    <w:rsid w:val="00016756"/>
    <w:rsid w:val="0001682D"/>
    <w:rsid w:val="000219A0"/>
    <w:rsid w:val="000417E9"/>
    <w:rsid w:val="00050F30"/>
    <w:rsid w:val="0005369B"/>
    <w:rsid w:val="00072973"/>
    <w:rsid w:val="00083BED"/>
    <w:rsid w:val="00083DD3"/>
    <w:rsid w:val="000863E6"/>
    <w:rsid w:val="000A2FC1"/>
    <w:rsid w:val="000B0E86"/>
    <w:rsid w:val="001013F1"/>
    <w:rsid w:val="001038FA"/>
    <w:rsid w:val="001056A7"/>
    <w:rsid w:val="00111837"/>
    <w:rsid w:val="0011244E"/>
    <w:rsid w:val="001222E5"/>
    <w:rsid w:val="001241E4"/>
    <w:rsid w:val="0012461C"/>
    <w:rsid w:val="00133914"/>
    <w:rsid w:val="00162CCA"/>
    <w:rsid w:val="00163814"/>
    <w:rsid w:val="00170834"/>
    <w:rsid w:val="00180513"/>
    <w:rsid w:val="00181C1A"/>
    <w:rsid w:val="00193264"/>
    <w:rsid w:val="001A4E1B"/>
    <w:rsid w:val="001B3F7A"/>
    <w:rsid w:val="001C1332"/>
    <w:rsid w:val="001C1BC5"/>
    <w:rsid w:val="001D0D57"/>
    <w:rsid w:val="001D3192"/>
    <w:rsid w:val="001E053F"/>
    <w:rsid w:val="001E1C57"/>
    <w:rsid w:val="001E460E"/>
    <w:rsid w:val="001E608A"/>
    <w:rsid w:val="00206061"/>
    <w:rsid w:val="0022582C"/>
    <w:rsid w:val="00230819"/>
    <w:rsid w:val="002604BC"/>
    <w:rsid w:val="00264170"/>
    <w:rsid w:val="00264777"/>
    <w:rsid w:val="00281871"/>
    <w:rsid w:val="002915BC"/>
    <w:rsid w:val="00291B12"/>
    <w:rsid w:val="002A6977"/>
    <w:rsid w:val="002B0FC1"/>
    <w:rsid w:val="002C6E42"/>
    <w:rsid w:val="002D3F97"/>
    <w:rsid w:val="002E7A76"/>
    <w:rsid w:val="002F0B2D"/>
    <w:rsid w:val="00315970"/>
    <w:rsid w:val="003425E3"/>
    <w:rsid w:val="003645AF"/>
    <w:rsid w:val="00376E16"/>
    <w:rsid w:val="0039375C"/>
    <w:rsid w:val="003A09BB"/>
    <w:rsid w:val="003C3D7C"/>
    <w:rsid w:val="003C5B78"/>
    <w:rsid w:val="003E7332"/>
    <w:rsid w:val="003F34FF"/>
    <w:rsid w:val="003F7D51"/>
    <w:rsid w:val="0041478C"/>
    <w:rsid w:val="00425AD9"/>
    <w:rsid w:val="00431137"/>
    <w:rsid w:val="0044363E"/>
    <w:rsid w:val="00456118"/>
    <w:rsid w:val="00460EC5"/>
    <w:rsid w:val="0046669F"/>
    <w:rsid w:val="00473DA8"/>
    <w:rsid w:val="004940A4"/>
    <w:rsid w:val="004A34D3"/>
    <w:rsid w:val="004E208E"/>
    <w:rsid w:val="004F1B35"/>
    <w:rsid w:val="0051368A"/>
    <w:rsid w:val="005140A6"/>
    <w:rsid w:val="00525308"/>
    <w:rsid w:val="00545ABC"/>
    <w:rsid w:val="005578FE"/>
    <w:rsid w:val="00575096"/>
    <w:rsid w:val="005750C7"/>
    <w:rsid w:val="005809C6"/>
    <w:rsid w:val="00591B72"/>
    <w:rsid w:val="005A2EAF"/>
    <w:rsid w:val="005B2E48"/>
    <w:rsid w:val="005F3172"/>
    <w:rsid w:val="0060267E"/>
    <w:rsid w:val="006053E6"/>
    <w:rsid w:val="00613E0E"/>
    <w:rsid w:val="006255CC"/>
    <w:rsid w:val="00637AAF"/>
    <w:rsid w:val="00640F26"/>
    <w:rsid w:val="0065628A"/>
    <w:rsid w:val="00656788"/>
    <w:rsid w:val="00665661"/>
    <w:rsid w:val="00667C47"/>
    <w:rsid w:val="00671B45"/>
    <w:rsid w:val="006722A2"/>
    <w:rsid w:val="00686551"/>
    <w:rsid w:val="00696A1E"/>
    <w:rsid w:val="006B1DB8"/>
    <w:rsid w:val="006B69FD"/>
    <w:rsid w:val="006D3788"/>
    <w:rsid w:val="006F4676"/>
    <w:rsid w:val="00720D7E"/>
    <w:rsid w:val="00726622"/>
    <w:rsid w:val="00730DC8"/>
    <w:rsid w:val="00732B19"/>
    <w:rsid w:val="00740FF3"/>
    <w:rsid w:val="00745AAC"/>
    <w:rsid w:val="00746BC0"/>
    <w:rsid w:val="0075157A"/>
    <w:rsid w:val="00757343"/>
    <w:rsid w:val="00761D8D"/>
    <w:rsid w:val="007668CA"/>
    <w:rsid w:val="00772839"/>
    <w:rsid w:val="007770C8"/>
    <w:rsid w:val="007823EB"/>
    <w:rsid w:val="00791706"/>
    <w:rsid w:val="007B1A10"/>
    <w:rsid w:val="007B2072"/>
    <w:rsid w:val="007C6B8D"/>
    <w:rsid w:val="00800D4C"/>
    <w:rsid w:val="00807BB6"/>
    <w:rsid w:val="00813E5F"/>
    <w:rsid w:val="00813FD5"/>
    <w:rsid w:val="00815464"/>
    <w:rsid w:val="00832673"/>
    <w:rsid w:val="00841751"/>
    <w:rsid w:val="00847D39"/>
    <w:rsid w:val="00866E8B"/>
    <w:rsid w:val="00875BC6"/>
    <w:rsid w:val="00877D1C"/>
    <w:rsid w:val="0088412B"/>
    <w:rsid w:val="00887A54"/>
    <w:rsid w:val="008B3295"/>
    <w:rsid w:val="008C71D4"/>
    <w:rsid w:val="00912424"/>
    <w:rsid w:val="00943A1F"/>
    <w:rsid w:val="00947763"/>
    <w:rsid w:val="0095636D"/>
    <w:rsid w:val="009821B7"/>
    <w:rsid w:val="009847B0"/>
    <w:rsid w:val="00992AD6"/>
    <w:rsid w:val="00992D2D"/>
    <w:rsid w:val="009C6618"/>
    <w:rsid w:val="00A23A6A"/>
    <w:rsid w:val="00A575EC"/>
    <w:rsid w:val="00A6032A"/>
    <w:rsid w:val="00A6799C"/>
    <w:rsid w:val="00A80C79"/>
    <w:rsid w:val="00A904C9"/>
    <w:rsid w:val="00A962D6"/>
    <w:rsid w:val="00AB07BD"/>
    <w:rsid w:val="00AC45C5"/>
    <w:rsid w:val="00AF0BB5"/>
    <w:rsid w:val="00B113C6"/>
    <w:rsid w:val="00B209F6"/>
    <w:rsid w:val="00B23F12"/>
    <w:rsid w:val="00B26653"/>
    <w:rsid w:val="00B26CE0"/>
    <w:rsid w:val="00B3220A"/>
    <w:rsid w:val="00B343C6"/>
    <w:rsid w:val="00B46205"/>
    <w:rsid w:val="00B47B37"/>
    <w:rsid w:val="00B6173D"/>
    <w:rsid w:val="00B6467D"/>
    <w:rsid w:val="00B93EA7"/>
    <w:rsid w:val="00BA0CC3"/>
    <w:rsid w:val="00BA3A6B"/>
    <w:rsid w:val="00BC3DAE"/>
    <w:rsid w:val="00BC4E97"/>
    <w:rsid w:val="00BC6824"/>
    <w:rsid w:val="00BD5BFF"/>
    <w:rsid w:val="00BE6F0C"/>
    <w:rsid w:val="00C01514"/>
    <w:rsid w:val="00C15E6A"/>
    <w:rsid w:val="00C21C43"/>
    <w:rsid w:val="00C33F9D"/>
    <w:rsid w:val="00C34123"/>
    <w:rsid w:val="00C702BA"/>
    <w:rsid w:val="00C71EF5"/>
    <w:rsid w:val="00C7375D"/>
    <w:rsid w:val="00C748BB"/>
    <w:rsid w:val="00C96052"/>
    <w:rsid w:val="00C97830"/>
    <w:rsid w:val="00CB7DEC"/>
    <w:rsid w:val="00CD28C4"/>
    <w:rsid w:val="00CD6806"/>
    <w:rsid w:val="00CE5AB0"/>
    <w:rsid w:val="00CF5310"/>
    <w:rsid w:val="00CF532C"/>
    <w:rsid w:val="00D331AC"/>
    <w:rsid w:val="00D36909"/>
    <w:rsid w:val="00D74C4C"/>
    <w:rsid w:val="00D80571"/>
    <w:rsid w:val="00D92750"/>
    <w:rsid w:val="00DA2AAE"/>
    <w:rsid w:val="00DB4664"/>
    <w:rsid w:val="00DD3AB7"/>
    <w:rsid w:val="00DD3C50"/>
    <w:rsid w:val="00DF26F7"/>
    <w:rsid w:val="00DF3AA9"/>
    <w:rsid w:val="00DF42E6"/>
    <w:rsid w:val="00E05AD3"/>
    <w:rsid w:val="00E2443B"/>
    <w:rsid w:val="00E27CD7"/>
    <w:rsid w:val="00E539B1"/>
    <w:rsid w:val="00E54859"/>
    <w:rsid w:val="00E575FE"/>
    <w:rsid w:val="00E57D71"/>
    <w:rsid w:val="00E6026A"/>
    <w:rsid w:val="00E609FB"/>
    <w:rsid w:val="00E64B02"/>
    <w:rsid w:val="00EB7B70"/>
    <w:rsid w:val="00EC16B1"/>
    <w:rsid w:val="00EC60E2"/>
    <w:rsid w:val="00EE1529"/>
    <w:rsid w:val="00EE6CD6"/>
    <w:rsid w:val="00EF2250"/>
    <w:rsid w:val="00EF7DB4"/>
    <w:rsid w:val="00F27960"/>
    <w:rsid w:val="00F37891"/>
    <w:rsid w:val="00F47880"/>
    <w:rsid w:val="00F552E8"/>
    <w:rsid w:val="00F803F6"/>
    <w:rsid w:val="00F94E9C"/>
    <w:rsid w:val="00FB1E31"/>
    <w:rsid w:val="00FB36E0"/>
    <w:rsid w:val="00FF4F90"/>
    <w:rsid w:val="01086ECA"/>
    <w:rsid w:val="013C7854"/>
    <w:rsid w:val="02024436"/>
    <w:rsid w:val="03652747"/>
    <w:rsid w:val="04B16344"/>
    <w:rsid w:val="04DB7032"/>
    <w:rsid w:val="05752135"/>
    <w:rsid w:val="05EF3B79"/>
    <w:rsid w:val="06684242"/>
    <w:rsid w:val="067633E6"/>
    <w:rsid w:val="06B003CC"/>
    <w:rsid w:val="07A93F8B"/>
    <w:rsid w:val="089E65A7"/>
    <w:rsid w:val="09721353"/>
    <w:rsid w:val="0B2C1784"/>
    <w:rsid w:val="0C0457E9"/>
    <w:rsid w:val="0CFF53E8"/>
    <w:rsid w:val="0EB76384"/>
    <w:rsid w:val="0FE14477"/>
    <w:rsid w:val="117B748F"/>
    <w:rsid w:val="1472439D"/>
    <w:rsid w:val="15264DFE"/>
    <w:rsid w:val="15DF7806"/>
    <w:rsid w:val="15EC2B88"/>
    <w:rsid w:val="1813674F"/>
    <w:rsid w:val="1A4020C9"/>
    <w:rsid w:val="1B7B202E"/>
    <w:rsid w:val="1C9C18EB"/>
    <w:rsid w:val="1CB409D5"/>
    <w:rsid w:val="20686AF0"/>
    <w:rsid w:val="2137191C"/>
    <w:rsid w:val="21ED4BAE"/>
    <w:rsid w:val="21F37832"/>
    <w:rsid w:val="23143F40"/>
    <w:rsid w:val="233F3B1D"/>
    <w:rsid w:val="26442BE0"/>
    <w:rsid w:val="2A185A32"/>
    <w:rsid w:val="2A6A423C"/>
    <w:rsid w:val="2D2865B8"/>
    <w:rsid w:val="2EAA2514"/>
    <w:rsid w:val="337B3DC3"/>
    <w:rsid w:val="37FE6B81"/>
    <w:rsid w:val="384931D1"/>
    <w:rsid w:val="3B6F7237"/>
    <w:rsid w:val="3BD80C09"/>
    <w:rsid w:val="3D6079FB"/>
    <w:rsid w:val="3E2F5F35"/>
    <w:rsid w:val="3F2E0960"/>
    <w:rsid w:val="42A72C4C"/>
    <w:rsid w:val="43A7119D"/>
    <w:rsid w:val="43EB656E"/>
    <w:rsid w:val="44B22B7D"/>
    <w:rsid w:val="45973862"/>
    <w:rsid w:val="466F5F1A"/>
    <w:rsid w:val="47DF5EF5"/>
    <w:rsid w:val="481E7682"/>
    <w:rsid w:val="48C2259B"/>
    <w:rsid w:val="4B7B1793"/>
    <w:rsid w:val="4BAF4AA9"/>
    <w:rsid w:val="4E116E4C"/>
    <w:rsid w:val="4EBB4CD6"/>
    <w:rsid w:val="4F451CC8"/>
    <w:rsid w:val="4FCA03E4"/>
    <w:rsid w:val="51425A7F"/>
    <w:rsid w:val="53416323"/>
    <w:rsid w:val="542D3EE8"/>
    <w:rsid w:val="5446652F"/>
    <w:rsid w:val="54C539C6"/>
    <w:rsid w:val="568C53C6"/>
    <w:rsid w:val="586F7B56"/>
    <w:rsid w:val="5A1A3B83"/>
    <w:rsid w:val="5CAE0F12"/>
    <w:rsid w:val="5EF118E7"/>
    <w:rsid w:val="62CC200C"/>
    <w:rsid w:val="664B125C"/>
    <w:rsid w:val="66751F8E"/>
    <w:rsid w:val="67763E2A"/>
    <w:rsid w:val="68566084"/>
    <w:rsid w:val="697574B9"/>
    <w:rsid w:val="69952701"/>
    <w:rsid w:val="69C1600C"/>
    <w:rsid w:val="69C90DDC"/>
    <w:rsid w:val="6B504D06"/>
    <w:rsid w:val="6B586423"/>
    <w:rsid w:val="6B8C6C37"/>
    <w:rsid w:val="6E0C0E58"/>
    <w:rsid w:val="6E2459BD"/>
    <w:rsid w:val="6E2509F4"/>
    <w:rsid w:val="6F6C53C5"/>
    <w:rsid w:val="7247188C"/>
    <w:rsid w:val="7487681A"/>
    <w:rsid w:val="7DF341CC"/>
    <w:rsid w:val="7E3A38C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194</Characters>
  <Lines>1</Lines>
  <Paragraphs>1</Paragraphs>
  <ScaleCrop>false</ScaleCrop>
  <LinksUpToDate>false</LinksUpToDate>
  <CharactersWithSpaces>227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2017-05-23T02:55:00Z</dcterms:created>
  <dc:creator>hp</dc:creator>
  <cp:lastModifiedBy>amber-out</cp:lastModifiedBy>
  <cp:lastPrinted>2021-06-17T10:22:20Z</cp:lastPrinted>
  <dcterms:modified xsi:type="dcterms:W3CDTF">2021-06-17T10:26:27Z</dcterms:modified>
  <dc:title>厅机关各处室、有关直属单位：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