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02"/>
        <w:gridCol w:w="221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502" w:rightChars="157"/>
              <w:textAlignment w:val="bottom"/>
              <w:rPr>
                <w:rFonts w:ascii="黑体" w:hAnsi="黑体" w:eastAsia="黑体"/>
              </w:rPr>
            </w:pPr>
            <w:bookmarkStart w:id="0" w:name="fhj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502" w:rightChars="157"/>
              <w:textAlignment w:val="bottom"/>
              <w:rPr>
                <w:rFonts w:eastAsia="黑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0" w:hRule="atLeast"/>
        </w:trPr>
        <w:tc>
          <w:tcPr>
            <w:tcW w:w="6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" w:lineRule="atLeast"/>
              <w:ind w:left="0" w:leftChars="0"/>
              <w:jc w:val="distribute"/>
              <w:textAlignment w:val="bottom"/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</w:pPr>
            <w:bookmarkStart w:id="1" w:name="fhead1"/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福建省科学技术厅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" w:lineRule="atLeast"/>
              <w:ind w:left="0" w:leftChars="0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福建省财政厅</w:t>
            </w:r>
          </w:p>
          <w:bookmarkEnd w:id="1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0" w:lineRule="atLeast"/>
              <w:ind w:left="0" w:leftChars="0"/>
              <w:jc w:val="distribute"/>
              <w:textAlignment w:val="bottom"/>
              <w:rPr>
                <w:rFonts w:hint="default" w:ascii="方正小标宋简体" w:eastAsia="方正小标宋简体"/>
                <w:b/>
                <w:bCs/>
                <w:color w:val="FF0000"/>
                <w:sz w:val="84"/>
                <w:szCs w:val="8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color w:val="FF0000"/>
                <w:w w:val="60"/>
                <w:sz w:val="84"/>
                <w:szCs w:val="84"/>
                <w:lang w:val="en-US" w:eastAsia="zh-CN"/>
              </w:rPr>
              <w:t>国家税务总局福建省税务局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0" w:lineRule="atLeast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84"/>
                <w:szCs w:val="84"/>
              </w:rPr>
            </w:pPr>
            <w:bookmarkStart w:id="2" w:name="fhead2"/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pacing w:val="52"/>
                <w:sz w:val="84"/>
                <w:szCs w:val="84"/>
              </w:rPr>
              <w:t>文件</w:t>
            </w:r>
            <w:bookmarkEnd w:id="2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8920" w:type="dxa"/>
            <w:gridSpan w:val="2"/>
            <w:noWrap w:val="0"/>
            <w:vAlign w:val="bottom"/>
          </w:tcPr>
          <w:p>
            <w:pPr>
              <w:suppressLineNumbers/>
              <w:overflowPunct w:val="0"/>
              <w:adjustRightInd/>
              <w:snapToGrid/>
              <w:spacing w:after="0" w:line="60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3" w:name="fwh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>闽科高〔20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" w:hRule="exac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/>
                <w:sz w:val="10"/>
                <w:szCs w:val="10"/>
              </w:rPr>
            </w:pPr>
          </w:p>
        </w:tc>
      </w:tr>
    </w:tbl>
    <w:p>
      <w:pPr>
        <w:rPr>
          <w:rFonts w:hint="eastAsia"/>
        </w:rPr>
      </w:pPr>
      <w:bookmarkStart w:id="4" w:name="fline"/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394335</wp:posOffset>
                </wp:positionV>
                <wp:extent cx="5601335" cy="0"/>
                <wp:effectExtent l="0" t="19050" r="18415" b="19050"/>
                <wp:wrapTight wrapText="bothSides">
                  <wp:wrapPolygon>
                    <wp:start x="0" y="0"/>
                    <wp:lineTo x="0" y="3"/>
                    <wp:lineTo x="591" y="3"/>
                    <wp:lineTo x="591" y="0"/>
                    <wp:lineTo x="0" y="0"/>
                  </wp:wrapPolygon>
                </wp:wrapTight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1pt;margin-top:31.05pt;height:0pt;width:441.05pt;mso-wrap-distance-left:9pt;mso-wrap-distance-right:9pt;z-index:-251656192;mso-width-relative:page;mso-height-relative:page;" filled="f" stroked="t" coordsize="21600,21600" wrapcoords="0 0 0 3 591 3 591 0 0 0" o:gfxdata="UEsDBAoAAAAAAIdO4kAAAAAAAAAAAAAAAAAEAAAAZHJzL1BLAwQUAAAACACHTuJAuZA3zNcAAAAH&#10;AQAADwAAAGRycy9kb3ducmV2LnhtbE2OzUrDQBSF94LvMFzBjdhJopQQc1NEEKtdtEZB3E0z1yQ0&#10;cyfOTNr69o640OX54ZyvXBzNIPbkfG8ZIZ0lIIgbq3tuEV5f7i9zED4o1mqwTAhf5GFRnZ6UqtD2&#10;wM+0r0Mr4gj7QiF0IYyFlL7pyCg/syNxzD6sMypE6VqpnTrEcTPILEnm0qie40OnRrrrqNnVk0Ew&#10;a3Mr31cPU+02j09vn6vlZnexRDw/S5MbEIGO4a8MP/gRHarItLUTay8GhCyLRYR5loKIcZ5fX4HY&#10;/hqyKuV//uobUEsDBBQAAAAIAIdO4kDfoe+o7AEAANwDAAAOAAAAZHJzL2Uyb0RvYy54bWytU0tu&#10;2zAQ3RfoHQjua0lxEwSC5SziupuiNdDmAGOSkgjwBw5t2WfpNbrqpsfJNTqUHKdNNl5EC2rIGb6Z&#10;92a4uDtYw/Yqovau4dWs5Ew54aV2XcMffqw/3HKGCZwE451q+FEhv1u+f7cYQq2ufO+NVJERiMN6&#10;CA3vUwp1UaDolQWc+aAcOVsfLSTaxq6QEQZCt6a4KsubYvBRhuiFQqTT1eTkJ8R4CaBvWy3Uyoud&#10;VS5NqFEZSEQJex2QL8dq21aJ9K1tUSVmGk5M07hSErK3eS2WC6i7CKHX4lQCXFLCC04WtKOkZ6gV&#10;JGC7qF9BWS2iR9+mmfC2mIiMihCLqnyhzfceghq5kNQYzqLj28GKr/tNZFrSJHDmwFLDH3/+evz9&#10;h33M2gwBawq5d5t42mHYxEz00Eab/0SBHUY9j2c91SExQYfXN2U1n19zJp58xfPFEDF9Vt6ybDTc&#10;aJepQg37L5goGYU+heRj49jQ8PltVVLrBNDgtdRwMm2g4tF142X0Rsu1NiZfwdht701ke6Dmr9cl&#10;fZkTAf8XlrOsAPspbnRNY9ErkJ+cZOkYSBZHr4HnGqySnBlFjydbBAh1Am0uiaTUxlEFWdZJyGxt&#10;vTxSE3Yh6q4nKaqxyuyhpo/1ngY0T9W/+xHp+VEu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5&#10;kDfM1wAAAAcBAAAPAAAAAAAAAAEAIAAAACIAAABkcnMvZG93bnJldi54bWxQSwECFAAUAAAACACH&#10;TuJA36HvqOwBAADcAwAADgAAAAAAAAABACAAAAAm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  <w:bookmarkEnd w:id="4"/>
    </w:p>
    <w:p>
      <w:pPr>
        <w:rPr>
          <w:rFonts w:hint="eastAsia"/>
        </w:rPr>
      </w:pPr>
    </w:p>
    <w:p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MERGEFIELD  文件标题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福建省科学技术厅 福建省财政厅 </w:t>
      </w:r>
    </w:p>
    <w:p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国家税务总局福建省税务局关于</w:t>
      </w:r>
    </w:p>
    <w:p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公布福建省20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</w:t>
      </w:r>
    </w:p>
    <w:p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名高新技术企业</w:t>
      </w:r>
    </w:p>
    <w:p>
      <w:pPr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suppressLineNumbers/>
        <w:overflowPunct w:val="0"/>
        <w:adjustRightInd/>
        <w:snapToGrid/>
        <w:spacing w:after="0" w:line="600" w:lineRule="exact"/>
        <w:contextualSpacing/>
        <w:jc w:val="both"/>
        <w:rPr>
          <w:rFonts w:ascii="仿宋" w:hAnsi="仿宋" w:eastAsia="仿宋"/>
          <w:sz w:val="32"/>
          <w:szCs w:val="32"/>
        </w:rPr>
      </w:pPr>
    </w:p>
    <w:p>
      <w:pPr>
        <w:spacing w:after="0" w:line="600" w:lineRule="exact"/>
        <w:jc w:val="both"/>
        <w:rPr>
          <w:rFonts w:ascii="仿宋" w:hAnsi="仿宋" w:eastAsia="仿宋" w:cs="宋体"/>
          <w:sz w:val="32"/>
          <w:szCs w:val="32"/>
        </w:rPr>
      </w:pPr>
      <w:bookmarkStart w:id="5" w:name="_GoBack"/>
      <w:r>
        <w:rPr>
          <w:rFonts w:hint="eastAsia" w:ascii="仿宋" w:hAnsi="仿宋" w:eastAsia="仿宋" w:cs="宋体"/>
          <w:sz w:val="32"/>
          <w:szCs w:val="32"/>
        </w:rPr>
        <w:fldChar w:fldCharType="begin"/>
      </w:r>
      <w:r>
        <w:rPr>
          <w:rFonts w:hint="eastAsia" w:ascii="仿宋" w:hAnsi="仿宋" w:eastAsia="仿宋" w:cs="宋体"/>
          <w:sz w:val="32"/>
          <w:szCs w:val="32"/>
        </w:rPr>
        <w:instrText xml:space="preserve"> MERGEFIELD 主送 </w:instrText>
      </w:r>
      <w:r>
        <w:rPr>
          <w:rFonts w:hint="eastAsia" w:ascii="仿宋" w:hAnsi="仿宋" w:eastAsia="仿宋" w:cs="宋体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sz w:val="32"/>
          <w:szCs w:val="32"/>
        </w:rPr>
        <w:t>各设区市科技局、财政局、税务局，平潭综合实验区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经济发展</w:t>
      </w:r>
      <w:r>
        <w:rPr>
          <w:rFonts w:hint="eastAsia" w:ascii="仿宋" w:hAnsi="仿宋" w:eastAsia="仿宋" w:cs="宋体"/>
          <w:sz w:val="32"/>
          <w:szCs w:val="32"/>
        </w:rPr>
        <w:t>局、财政金融局、税务局</w:t>
      </w:r>
      <w:r>
        <w:rPr>
          <w:rFonts w:hint="eastAsia" w:ascii="仿宋" w:hAnsi="仿宋" w:eastAsia="仿宋" w:cs="宋体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after="0" w:line="6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根据《高新技术企业认定管理办法》（国科发火〔2016〕32号）和《高新技术企业认定管理工作指引》（国科发火〔2016〕195号）的有关规定，现对20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sz w:val="32"/>
          <w:szCs w:val="32"/>
        </w:rPr>
        <w:t>第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批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宋体"/>
          <w:sz w:val="32"/>
          <w:szCs w:val="32"/>
        </w:rPr>
        <w:t>家企业变更高新技术企业名称予以公布，其高新技术企业证书编号和有效期不变。</w:t>
      </w:r>
    </w:p>
    <w:p>
      <w:pPr>
        <w:spacing w:after="0" w:line="60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设区市科技局（含平潭综合实验区经济发展局）将名单中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宋体"/>
          <w:sz w:val="32"/>
          <w:szCs w:val="32"/>
        </w:rPr>
        <w:t>原高新技术企业证书原件和单位介绍信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寄送</w:t>
      </w:r>
      <w:r>
        <w:rPr>
          <w:rFonts w:hint="eastAsia" w:ascii="仿宋" w:hAnsi="仿宋" w:eastAsia="仿宋" w:cs="宋体"/>
          <w:sz w:val="32"/>
          <w:szCs w:val="32"/>
        </w:rPr>
        <w:t>至省高新技术创业服务中心（福州市工业路611号福建火炬高新技术创业园主楼南区九层905室），更名后的高新技术企业证书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将于近日寄返</w:t>
      </w:r>
      <w:r>
        <w:rPr>
          <w:rFonts w:hint="eastAsia" w:ascii="仿宋" w:hAnsi="仿宋" w:eastAsia="仿宋" w:cs="宋体"/>
          <w:sz w:val="32"/>
          <w:szCs w:val="32"/>
        </w:rPr>
        <w:t>。联系电话：0591-87645521。</w:t>
      </w:r>
    </w:p>
    <w:p>
      <w:pPr>
        <w:spacing w:after="0" w:line="600" w:lineRule="exact"/>
        <w:ind w:firstLine="720" w:firstLineChars="225"/>
        <w:jc w:val="both"/>
        <w:rPr>
          <w:rFonts w:ascii="仿宋" w:hAnsi="仿宋" w:eastAsia="仿宋" w:cs="宋体"/>
          <w:sz w:val="32"/>
          <w:szCs w:val="32"/>
        </w:rPr>
      </w:pPr>
    </w:p>
    <w:p>
      <w:pPr>
        <w:suppressLineNumbers/>
        <w:overflowPunct w:val="0"/>
        <w:adjustRightInd/>
        <w:snapToGrid/>
        <w:spacing w:after="0" w:line="600" w:lineRule="exact"/>
        <w:ind w:firstLine="640" w:firstLineChars="200"/>
        <w:contextualSpacing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附件：福建省20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宋体"/>
          <w:sz w:val="32"/>
          <w:szCs w:val="32"/>
        </w:rPr>
        <w:t>第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sz w:val="32"/>
          <w:szCs w:val="32"/>
        </w:rPr>
        <w:t>批更名高新技术企业名单</w:t>
      </w:r>
    </w:p>
    <w:p>
      <w:pPr>
        <w:suppressLineNumbers/>
        <w:overflowPunct w:val="0"/>
        <w:adjustRightInd/>
        <w:snapToGrid/>
        <w:spacing w:after="0" w:line="600" w:lineRule="exact"/>
        <w:ind w:firstLine="640" w:firstLineChars="200"/>
        <w:contextualSpacing/>
        <w:jc w:val="both"/>
        <w:rPr>
          <w:rFonts w:hint="eastAsia" w:ascii="仿宋" w:hAnsi="仿宋" w:eastAsia="仿宋" w:cs="宋体"/>
          <w:sz w:val="32"/>
          <w:szCs w:val="32"/>
        </w:rPr>
      </w:pPr>
    </w:p>
    <w:p>
      <w:pPr>
        <w:suppressLineNumbers/>
        <w:overflowPunct w:val="0"/>
        <w:adjustRightInd/>
        <w:snapToGrid/>
        <w:spacing w:after="0" w:line="600" w:lineRule="exact"/>
        <w:ind w:firstLine="640" w:firstLineChars="200"/>
        <w:contextualSpacing/>
        <w:jc w:val="both"/>
        <w:rPr>
          <w:rFonts w:hint="eastAsia" w:ascii="仿宋" w:hAnsi="仿宋" w:eastAsia="仿宋" w:cs="宋体"/>
          <w:sz w:val="32"/>
          <w:szCs w:val="32"/>
        </w:rPr>
      </w:pPr>
    </w:p>
    <w:p>
      <w:pPr>
        <w:suppressLineNumbers/>
        <w:overflowPunct w:val="0"/>
        <w:adjustRightInd/>
        <w:snapToGrid/>
        <w:spacing w:after="0" w:line="600" w:lineRule="exact"/>
        <w:ind w:firstLine="640" w:firstLineChars="200"/>
        <w:contextualSpacing/>
        <w:jc w:val="both"/>
        <w:rPr>
          <w:rFonts w:hint="eastAsia" w:ascii="仿宋" w:hAnsi="仿宋" w:eastAsia="仿宋" w:cs="宋体"/>
          <w:sz w:val="32"/>
          <w:szCs w:val="32"/>
        </w:rPr>
      </w:pPr>
    </w:p>
    <w:p>
      <w:pPr>
        <w:spacing w:after="0" w:line="600" w:lineRule="exact"/>
        <w:jc w:val="both"/>
        <w:rPr>
          <w:rFonts w:ascii="仿宋" w:hAnsi="仿宋" w:eastAsia="仿宋" w:cs="宋体"/>
          <w:w w:val="90"/>
          <w:sz w:val="32"/>
          <w:szCs w:val="32"/>
        </w:rPr>
      </w:pPr>
      <w:r>
        <w:rPr>
          <w:rFonts w:hint="eastAsia" w:ascii="仿宋" w:hAnsi="仿宋" w:eastAsia="仿宋" w:cs="宋体"/>
          <w:w w:val="90"/>
          <w:sz w:val="32"/>
          <w:szCs w:val="32"/>
        </w:rPr>
        <w:t xml:space="preserve">福建省科学技术厅 </w:t>
      </w:r>
      <w:r>
        <w:rPr>
          <w:rFonts w:hint="eastAsia" w:ascii="仿宋" w:hAnsi="仿宋" w:cs="宋体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w w:val="90"/>
          <w:sz w:val="32"/>
          <w:szCs w:val="32"/>
        </w:rPr>
        <w:t>福建省财政厅</w:t>
      </w:r>
      <w:r>
        <w:rPr>
          <w:rFonts w:hint="eastAsia" w:ascii="仿宋" w:hAnsi="仿宋" w:eastAsia="仿宋" w:cs="宋体"/>
          <w:w w:val="9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cs="宋体"/>
          <w:w w:val="9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w w:val="90"/>
          <w:sz w:val="32"/>
          <w:szCs w:val="32"/>
        </w:rPr>
        <w:t>国家税务总局福建省税务局</w:t>
      </w:r>
    </w:p>
    <w:p>
      <w:pPr>
        <w:spacing w:after="0" w:line="600" w:lineRule="exact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bookmarkEnd w:id="5"/>
    <w:p>
      <w:pPr>
        <w:spacing w:after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（此件主动公开）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福建省20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度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批更名高新技术企业名单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95"/>
        <w:gridCol w:w="2385"/>
        <w:gridCol w:w="205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拟更名企业名称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福州长盛亿电子科技有限公司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福建长盛亿信息科技有限公司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GR201935000118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福建省气柜设备安装有限公司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中琉科技有限公司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GR201835000591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福建天评建设工程有限公司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福建天评检测有限公司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GR202035000717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福州市远东谷米信息科技有限公司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谷米恒越信息科技有限公司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GR201835000758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福州科杰电子衡器有限公司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福州科杰智能科技有限公司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GR201935000215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福建西威联电气有限公司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晨浩翔工业（福建）有限公司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GR202035000469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福建创高安防技术股份有限公司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福建创高智联技术股份有限公司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GR202035000057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福建春晖服装科技有限公司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春晖科技集团有限公司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GR201835000803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福州路雅鞋业有限公司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福建路雅科技有限公司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GR201835000511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福州智永信息科技有限公司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宝宝巴士股份有限公司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GR202035001923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福州维尔德义齿制作有限公司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福州维尔德医疗科技有限公司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GR201835000407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福州合盈机械有限公司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福建合盈机械有限公司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GR202035000758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福州艾迪康医学检验所有限公司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福州艾迪康医学检验实验室有限公司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GR202035000499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福州百洲信息技术有限公司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福建省百洲信息技术有限公司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GR201935000360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福州掌中云文化传媒有限公司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福州掌中云科技有限公司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GR202035000793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福州市聚龙计算机技术有限公司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福建铭筑科技有限公司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GR202035000473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福建福思特阀门集团有限公司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福思特阀门集团有限公司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GR202035000762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福州科德信息技术服务有限公司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福建科德信息技术服务有限公司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GR202035001658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福建坤华仪自动化仪器仪表有限公司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福建坤华智能装备有限公司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GR201835000063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福州市规划设计研究院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福州市规划设计研究院集团有限公司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GR201835000203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福州书境文化传媒有限公司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福建书境文化科技有限公司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GR201935000868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福建三维时空软件股份有限公司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三维时空软件股份有限公司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GR201835000303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福建绿科建设集团有限公司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福建绿科智造工业集团有限公司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GR201835000867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福建龙泰竹家居股份有限公司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龙竹科技集团股份有限公司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GR202035001272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福建省圣新能源股份有限公司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福建省圣新环保股份有限公司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GR201835000790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福鼎市溥昱电子科技有限公司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福建溥昱电子科技有限公司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GR202035001887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福建省闽东力捷迅药业有限公司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福建省闽东力捷迅药业股份有限公司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GR201935000565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宗仁科技（平潭）有限公司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宗仁科技（平潭）股份有限公司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GR201835000283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福建省海安橡胶有限公司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海安橡胶集团股份公司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GR202035000801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云度新能源汽车股份有限公司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云度新能源汽车有限公司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GR201835000006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莆田市涵江区初日化工有限公司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福建初日涂料科技有限公司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GR201835000589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莆田平行威客商务服务有限公司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平行威客（福建）信息技术有限公司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GR202035000203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永安建兴工贸有限公司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福建永安建兴设备有限公司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GR202035000307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福建亿达工程勘察设计研究院有限公司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中亿通达设计咨询集团有限公司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GR201935000366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漳州市凯盛环境工程有限公司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漳州市凯盛环境服务集团有限公司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GR201835000430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漳州捷达新精密模具有限公司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漳州捷达新精密科技有限公司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GR201935000897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漳州冠澄信息科技有限公司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福建冠澄信息咨询有限公司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GR202035001703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漳州市筑创铝模科技有限公司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福建省筑创铝模科技有限公司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GR202035000977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漳州天启文化传播有限公司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漳州天启文化传播股份有限公司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GR202035001265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漳州市恒美印象网络科技有限公司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漳州市恒美印象网络科技股份有限公司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GR202035000930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福建硒来乐生态农业有限公司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福建硒来乐生物科技股份有限公司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GR202035001718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漳州雅宝电子有限公司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漳州雅宝电子股份有限公司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GR201935001060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福建省汇亿电力工程有限公司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瑞沣集团股份有限公司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GR202035002038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福建省劲安节能监测技术有限公司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福建省劲安节能监测技术股份有限公司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GR201935001001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福建省高技汽车服务有限公司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福建高技汽车服务股份有限公司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GR201835000111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泉州市微柏工业机器人研究院有限公司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福建省微柏工业机器人有限公司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GR201935000887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泉州市洛江区环球塑胶有限公司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泉州市环球新材料科技有限公司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GR202035001451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福建恒劲科博测控技术有限公司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福建恒劲科技有限公司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GR201835000496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泉州时刻防盗电子有限责任公司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福建时刻智能科技有限责任公司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GR201835000729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晋江新龙鞋材有限公司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福建新龙科技有限公司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GR202035000182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南安市铭基金刚石工具有限公司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福建铭基新材料科技有限公司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GR202035001126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福建省泉州市三元安装有限公司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福建三元安装有限公司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GR202035000395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福建依时利信息科技有限公司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福建依时利软件股份有限公司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GR202035000157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力声（福建）通信股份有限公司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力声通信股份有限公司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GR202035000917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南安市捷佳液压机械有限公司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福建省捷佳液压科技有限公司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GR202035001355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晋江市永固纺织涂层有限公司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永固纺织科技有限公司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GR202035001646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2020.12.01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福建路驰环保科技股份有限公司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福建路驰环境科技股份有限公司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GR201835000546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福建省泉州市江南冷却器厂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福建省江南冷却科技有限公司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GR201935000803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泉州市晋源消防水暖有限公司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劲源科技发展有限公司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GR201935000616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晋江安能建材制造有限公司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福建安能新材料股份有限公司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GR201835000406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福建铁拓机械有限公司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福建省铁拓机械股份有限公司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GR201835000431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福建嘉博联合设计股份有限公司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嘉博联合设计股份有限公司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GR201835000033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2018.11.30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福建国信立联信息科技有限公司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福建国信立联科技集团有限公司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GR201935000156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福州金域医学检验所有限公司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福州金域医学检验实验室有限公司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GR201935000267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2019.12.02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0" w:firstLineChars="0"/>
        <w:rPr>
          <w:rFonts w:hint="eastAsia" w:ascii="方正仿宋_GBK" w:hAnsi="方正仿宋_GBK" w:eastAsia="方正仿宋_GBK" w:cs="方正仿宋_GBK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346075</wp:posOffset>
                </wp:positionV>
                <wp:extent cx="52971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27.25pt;height:0pt;width:417.1pt;z-index:251662336;mso-width-relative:page;mso-height-relative:page;" filled="f" stroked="t" coordsize="21600,21600" o:gfxdata="UEsDBAoAAAAAAIdO4kAAAAAAAAAAAAAAAAAEAAAAZHJzL1BLAwQUAAAACACHTuJAbdrIo9cAAAAI&#10;AQAADwAAAGRycy9kb3ducmV2LnhtbE2PzWrDMBCE74W+g9hCb4mckNjBtRxKoNBLU5L2ATbWxja1&#10;VsZSfpyn75Ye2uPODLPfFOur69SZhtB6NjCbJqCIK29brg18frxMVqBCRLbYeSYDIwVYl/d3BebW&#10;X3hH532slZRwyNFAE2Ofax2qhhyGqe+JxTv6wWGUc6i1HfAi5a7T8yRJtcOW5UODPW0aqr72J2dg&#10;t/Hb7LlfvL9u49sxu91GqurRmMeHWfIEKtI1/oXhB1/QoRSmgz+xDaozMElTSRpYLpagxF/NMxEO&#10;v4IuC/1/QPkNUEsDBBQAAAAIAIdO4kC+9RHX2QEAAJsDAAAOAAAAZHJzL2Uyb0RvYy54bWytU81u&#10;EzEQviPxDpbvZJNUIWWVTQ+NygVBJOABJl7vriX/yeNmk5fgBZC4wYkjd96G9jEYe7cpbS89kIMz&#10;nhl/4+/zt6uLg9FsLwMqZys+m0w5k1a4Wtm24p8/Xb065wwj2Bq0s7LiR4n8Yv3yxar3pZy7zula&#10;BkYgFsveV7yL0ZdFgaKTBnDivLRUbFwwEGkb2qIO0BO60cV8On1d9C7UPjghESm7GYp8RAzPAXRN&#10;o4TcOHFtpI0DapAaIlHCTnnk63zbppEifmgalJHpihPTmFcaQvEurcV6BWUbwHdKjFeA51zhEScD&#10;ytLQE9QGIrDroJ5AGSWCQ9fEiXCmGIhkRYjFbPpIm48deJm5kNToT6Lj/4MV7/fbwFRd8TPOLBh6&#10;8Juvv/58+X77+xutNz9/sLMkUu+xpN5Luw3jDv02JMaHJpj0T1zYIQt7PAkrD5EJSi7mb5azJWku&#10;7mrF/UEfML6VzrAUVFwrmzhDCft3GGkYtd61pLR1V0rr/G7asp4svDhfLggayIwNmYBC44kQ2pYz&#10;0C25XMSQIdFpVafjCQhDu7vUge0heSP/ElMa96Atzd4AdkNfLo1t2lJ3EmaQIkU7Vx+zQjlPb5bx&#10;Rn8lU/y7z6fvv6n1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3ayKPXAAAACAEAAA8AAAAAAAAA&#10;AQAgAAAAIgAAAGRycy9kb3ducmV2LnhtbFBLAQIUABQAAAAIAIdO4kC+9RHX2QEAAJsDAAAOAAAA&#10;AAAAAAEAIAAAACYBAABkcnMvZTJvRG9jLnhtbFBLBQYAAAAABgAGAFkBAABxBQAAAAA=&#10;">
                <v:fill on="f" focussize="0,0"/>
                <v:stroke weight="1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529717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5375" y="9311005"/>
                          <a:ext cx="529717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5pt;margin-top:4.25pt;height:0pt;width:417.1pt;z-index:251661312;mso-width-relative:page;mso-height-relative:page;" filled="f" stroked="t" coordsize="21600,21600" o:gfxdata="UEsDBAoAAAAAAIdO4kAAAAAAAAAAAAAAAAAEAAAAZHJzL1BLAwQUAAAACACHTuJACLIwStUAAAAG&#10;AQAADwAAAGRycy9kb3ducmV2LnhtbE2OzWrDMBCE74W+g9hAb4mc0MbG9TqUQKGXpiTtAyjWxjax&#10;VsZSfpyn77aX9jQMM8x8xerqOnWmIbSeEeazBBRx5W3LNcLX5+s0AxWiYWs6z4QwUoBVeX9XmNz6&#10;C2/pvIu1khEOuUFoYuxzrUPVkDNh5ntiyQ5+cCaKHWptB3ORcdfpRZIstTMty0Njelo3VB13J4ew&#10;XftN+tI/frxt4vshvd1GquoR8WEyT55BRbrGvzL84As6lMK09ye2QXUI0/RJmgiZiMTZYpmC2v96&#10;XRb6P375DVBLAwQUAAAACACHTuJAes+g2+cBAACnAwAADgAAAGRycy9lMm9Eb2MueG1srVPNbtQw&#10;EL4j8Q6W72x+qrDdaLM9dFUuCFYCHsDrOIkl/8njbnZfghdA4gYnjtx5G9rHYOyElraXHsjBGdtf&#10;vpnvm8n64qgVOQgP0pqGFoucEmG4baXpG/rp49Wrc0ogMNMyZY1o6EkAvdi8fLEeXS1KO1jVCk+Q&#10;xEA9uoYOIbg6y4APQjNYWCcMXnbWaxZw6/us9WxEdq2yMs9fZ6P1rfOWCwA83U6XdGb0zyG0XSe5&#10;2Fp+rYUJE6sXigWUBIN0QDep2q4TPLzvOhCBqIai0pBWTILxPq7ZZs3q3jM3SD6XwJ5TwiNNmkmD&#10;Se+otiwwcu3lEyotubdgu7DgVmeTkOQIqijyR958GJgTSQtaDe7OdPh/tPzdYeeJbBtaUmKYxobf&#10;fPn5+/O3219fcb358Z2U0aTRQY3YS7Pz8w7czkfFx87r+EYt5IgDla+qs2VFyamhq7OiyPNqMlkc&#10;A+EIqMrVslii/xwRqQHZPYnzEN4Iq0kMGqqkifpZzQ5vIWBihP6FxGNjr6RSqYfKkBGzV+cxN2c4&#10;mB0OBIbaoTgwPSVM9TjxPPhECVbJNn4eicD3+0vlyYHFOUlPrBrTPYDF3FsGw4RLVzNMGURHkyZb&#10;YrS37Sm5lc6xf4lvnrU4IP/u09f3/9f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iyMErVAAAA&#10;BgEAAA8AAAAAAAAAAQAgAAAAIgAAAGRycy9kb3ducmV2LnhtbFBLAQIUABQAAAAIAIdO4kB6z6Db&#10;5wEAAKcDAAAOAAAAAAAAAAEAIAAAACQBAABkcnMvZTJvRG9jLnhtbFBLBQYAAAAABgAGAFkBAAB9&#10;BQAAAAA=&#10;">
                <v:fill on="f" focussize="0,0"/>
                <v:stroke weight="1.2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福建省科学技术厅办公室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2021年7月30日印发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5"/>
    <w:rsid w:val="00173C95"/>
    <w:rsid w:val="0034505D"/>
    <w:rsid w:val="003949E8"/>
    <w:rsid w:val="009406DE"/>
    <w:rsid w:val="00AD7AA8"/>
    <w:rsid w:val="00F45774"/>
    <w:rsid w:val="19B84E63"/>
    <w:rsid w:val="3EF7BDC6"/>
    <w:rsid w:val="3FC10DBD"/>
    <w:rsid w:val="58AC0414"/>
    <w:rsid w:val="58D95E57"/>
    <w:rsid w:val="5B18D60D"/>
    <w:rsid w:val="789E5574"/>
    <w:rsid w:val="B3A75A6C"/>
    <w:rsid w:val="B9F76789"/>
    <w:rsid w:val="FDB38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</Words>
  <Characters>65</Characters>
  <Lines>1</Lines>
  <Paragraphs>1</Paragraphs>
  <TotalTime>3</TotalTime>
  <ScaleCrop>false</ScaleCrop>
  <LinksUpToDate>false</LinksUpToDate>
  <CharactersWithSpaces>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2020-06-20T01:29:00Z</dcterms:created>
  <dc:creator>hp</dc:creator>
  <cp:lastModifiedBy>xxjs</cp:lastModifiedBy>
  <cp:lastPrinted>2021-07-30T09:20:00Z</cp:lastPrinted>
  <dcterms:modified xsi:type="dcterms:W3CDTF">2021-08-13T08:11:46Z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113F84AF01A94ACFB7D075F422C1B147</vt:lpwstr>
  </property>
</Properties>
</file>