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3" w:lineRule="atLeast"/>
        <w:jc w:val="center"/>
        <w:rPr>
          <w:rFonts w:ascii="微软雅黑" w:hAnsi="微软雅黑" w:eastAsia="微软雅黑" w:cs="微软雅黑"/>
          <w:color w:val="333333"/>
        </w:rPr>
      </w:pPr>
      <w:r>
        <w:rPr>
          <w:rFonts w:hint="eastAsia" w:ascii="微软雅黑" w:hAnsi="微软雅黑" w:eastAsia="微软雅黑" w:cs="微软雅黑"/>
          <w:color w:val="333333"/>
          <w:kern w:val="0"/>
          <w:sz w:val="24"/>
          <w:szCs w:val="24"/>
          <w:lang w:val="en-US" w:eastAsia="zh-CN" w:bidi="ar"/>
        </w:rPr>
        <w:t>福建省科学技术厅关于印发福建省工程技术研究中心管理细则的通知</w:t>
      </w:r>
    </w:p>
    <w:p>
      <w:pPr>
        <w:keepNext w:val="0"/>
        <w:keepLines w:val="0"/>
        <w:widowControl/>
        <w:suppressLineNumbers w:val="0"/>
        <w:spacing w:line="23" w:lineRule="atLeast"/>
        <w:jc w:val="center"/>
        <w:rPr>
          <w:rFonts w:hint="eastAsia" w:ascii="微软雅黑" w:hAnsi="微软雅黑" w:eastAsia="微软雅黑" w:cs="微软雅黑"/>
          <w:color w:val="333333"/>
        </w:rPr>
      </w:pPr>
      <w:bookmarkStart w:id="0" w:name="_GoBack"/>
      <w:r>
        <w:rPr>
          <w:rFonts w:hint="eastAsia" w:ascii="微软雅黑" w:hAnsi="微软雅黑" w:eastAsia="微软雅黑" w:cs="微软雅黑"/>
          <w:color w:val="333333"/>
          <w:kern w:val="0"/>
          <w:sz w:val="24"/>
          <w:szCs w:val="24"/>
          <w:lang w:val="en-US" w:eastAsia="zh-CN" w:bidi="ar"/>
        </w:rPr>
        <w:t>闽科计〔2007〕19号</w:t>
      </w:r>
    </w:p>
    <w:bookmarkEnd w:id="0"/>
    <w:p>
      <w:pPr>
        <w:pStyle w:val="2"/>
        <w:keepNext w:val="0"/>
        <w:keepLines w:val="0"/>
        <w:widowControl/>
        <w:suppressLineNumbers w:val="0"/>
        <w:ind w:left="0" w:right="0"/>
        <w:jc w:val="both"/>
      </w:pPr>
      <w:r>
        <w:rPr>
          <w:color w:val="333333"/>
        </w:rPr>
        <w:t>各有关单位：</w:t>
      </w:r>
    </w:p>
    <w:p>
      <w:pPr>
        <w:pStyle w:val="2"/>
        <w:keepNext w:val="0"/>
        <w:keepLines w:val="0"/>
        <w:widowControl/>
        <w:suppressLineNumbers w:val="0"/>
        <w:ind w:left="0" w:right="0"/>
        <w:jc w:val="both"/>
      </w:pPr>
      <w:r>
        <w:rPr>
          <w:color w:val="333333"/>
        </w:rPr>
        <w:t>　　为了加强和规范省级工程技术研究中心的管理，推进我省工程技术研究中心健康发展，现将《福建省工程技术研究中心管理细则》印发你们，请认真贯彻执行。</w:t>
      </w:r>
    </w:p>
    <w:p>
      <w:pPr>
        <w:pStyle w:val="2"/>
        <w:keepNext w:val="0"/>
        <w:keepLines w:val="0"/>
        <w:widowControl/>
        <w:suppressLineNumbers w:val="0"/>
        <w:ind w:left="0" w:right="0"/>
        <w:jc w:val="right"/>
      </w:pPr>
      <w:r>
        <w:rPr>
          <w:color w:val="333333"/>
        </w:rPr>
        <w:t>福建省科学技术厅</w:t>
      </w:r>
    </w:p>
    <w:p>
      <w:pPr>
        <w:pStyle w:val="2"/>
        <w:keepNext w:val="0"/>
        <w:keepLines w:val="0"/>
        <w:widowControl/>
        <w:suppressLineNumbers w:val="0"/>
        <w:ind w:left="0" w:right="0"/>
        <w:jc w:val="right"/>
      </w:pPr>
      <w:r>
        <w:rPr>
          <w:color w:val="333333"/>
        </w:rPr>
        <w:t>　　二○○七年四月二十八日</w:t>
      </w:r>
    </w:p>
    <w:p>
      <w:pPr>
        <w:pStyle w:val="2"/>
        <w:keepNext w:val="0"/>
        <w:keepLines w:val="0"/>
        <w:widowControl/>
        <w:suppressLineNumbers w:val="0"/>
        <w:spacing w:before="210" w:beforeAutospacing="0" w:after="210" w:afterAutospacing="0" w:line="21" w:lineRule="atLeast"/>
        <w:jc w:val="center"/>
        <w:rPr>
          <w:rFonts w:hint="eastAsia" w:ascii="宋体" w:hAnsi="宋体" w:eastAsia="宋体" w:cs="宋体"/>
          <w:sz w:val="21"/>
          <w:szCs w:val="21"/>
        </w:rPr>
      </w:pPr>
      <w:r>
        <w:rPr>
          <w:rStyle w:val="5"/>
          <w:rFonts w:hint="eastAsia" w:ascii="宋体" w:hAnsi="宋体" w:eastAsia="宋体" w:cs="宋体"/>
          <w:color w:val="333333"/>
          <w:sz w:val="21"/>
          <w:szCs w:val="21"/>
        </w:rPr>
        <w:t>福建省工程技术研究中心管理细则</w:t>
      </w:r>
    </w:p>
    <w:p>
      <w:pPr>
        <w:pStyle w:val="2"/>
        <w:keepNext w:val="0"/>
        <w:keepLines w:val="0"/>
        <w:widowControl/>
        <w:suppressLineNumbers w:val="0"/>
        <w:ind w:left="0" w:right="0"/>
        <w:jc w:val="both"/>
      </w:pPr>
      <w:r>
        <w:rPr>
          <w:color w:val="333333"/>
        </w:rPr>
        <w:t>　　为了加强和规范省级工程技术研究中心的建设和管理，提高产业关键共性技术和重大科技成果的工程化、产业化能力，充分发挥其在工程化技术研发、人才培养、成果转化等方面的作用，根据《福建省科技创新平台建设计划管理办法》和《国家工程技术研究中心暂行管理办法》，制定本细则。</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第一条</w:t>
      </w:r>
      <w:r>
        <w:rPr>
          <w:rFonts w:hint="eastAsia" w:ascii="宋体" w:hAnsi="宋体" w:eastAsia="宋体" w:cs="宋体"/>
          <w:color w:val="333333"/>
          <w:sz w:val="21"/>
          <w:szCs w:val="21"/>
        </w:rPr>
        <w:t> 省级工程技术研究中心宗旨：根据我省产业发展的需求，研究开发产业关键共性技术，推动科技成果转化；面向规模生产需求，促进关键共性技术配套集成，并向相关行业辐射、转移与扩散；建设具有特色优势的工程化实验条件，培养工程技术专业人才。</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第二条</w:t>
      </w:r>
      <w:r>
        <w:rPr>
          <w:rFonts w:hint="eastAsia" w:ascii="宋体" w:hAnsi="宋体" w:eastAsia="宋体" w:cs="宋体"/>
          <w:color w:val="333333"/>
          <w:sz w:val="21"/>
          <w:szCs w:val="21"/>
        </w:rPr>
        <w:t> 省级工程研究中心主要任务：</w:t>
      </w:r>
    </w:p>
    <w:p>
      <w:pPr>
        <w:pStyle w:val="2"/>
        <w:keepNext w:val="0"/>
        <w:keepLines w:val="0"/>
        <w:widowControl/>
        <w:suppressLineNumbers w:val="0"/>
        <w:ind w:left="0" w:right="0"/>
        <w:jc w:val="both"/>
      </w:pPr>
      <w:r>
        <w:rPr>
          <w:color w:val="333333"/>
        </w:rPr>
        <w:t>　　（一） 将具有重要应用前景的科研成果进行系统化、配套化和工程化研究开发，提供可规模化推广应用的技术、工艺和产品。</w:t>
      </w:r>
    </w:p>
    <w:p>
      <w:pPr>
        <w:pStyle w:val="2"/>
        <w:keepNext w:val="0"/>
        <w:keepLines w:val="0"/>
        <w:widowControl/>
        <w:suppressLineNumbers w:val="0"/>
        <w:ind w:left="0" w:right="0"/>
        <w:jc w:val="both"/>
      </w:pPr>
      <w:r>
        <w:rPr>
          <w:color w:val="333333"/>
        </w:rPr>
        <w:t>　　（二） 开展引进技术的消化、吸收和创新，为行业科技进步提供支持。　　</w:t>
      </w:r>
    </w:p>
    <w:p>
      <w:pPr>
        <w:pStyle w:val="2"/>
        <w:keepNext w:val="0"/>
        <w:keepLines w:val="0"/>
        <w:widowControl/>
        <w:suppressLineNumbers w:val="0"/>
        <w:ind w:left="0" w:right="0"/>
        <w:jc w:val="both"/>
      </w:pPr>
      <w:r>
        <w:rPr>
          <w:color w:val="333333"/>
        </w:rPr>
        <w:t>　　（三） 实行开放服务，接受工程技术研究、设计和试验的委托任务，并对外提供技术咨询服务。</w:t>
      </w:r>
    </w:p>
    <w:p>
      <w:pPr>
        <w:pStyle w:val="2"/>
        <w:keepNext w:val="0"/>
        <w:keepLines w:val="0"/>
        <w:widowControl/>
        <w:suppressLineNumbers w:val="0"/>
        <w:ind w:left="0" w:right="0"/>
        <w:jc w:val="both"/>
      </w:pPr>
      <w:r>
        <w:rPr>
          <w:color w:val="333333"/>
        </w:rPr>
        <w:t>　　（四） 培养行业或领域需要的高素质工程化研发人员和工程管理技术人员。</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第三条</w:t>
      </w:r>
      <w:r>
        <w:rPr>
          <w:rFonts w:hint="eastAsia" w:ascii="宋体" w:hAnsi="宋体" w:eastAsia="宋体" w:cs="宋体"/>
          <w:color w:val="333333"/>
          <w:sz w:val="21"/>
          <w:szCs w:val="21"/>
        </w:rPr>
        <w:t> 省级工程技术研究中心应具备基本条件：</w:t>
      </w:r>
    </w:p>
    <w:p>
      <w:pPr>
        <w:pStyle w:val="2"/>
        <w:keepNext w:val="0"/>
        <w:keepLines w:val="0"/>
        <w:widowControl/>
        <w:suppressLineNumbers w:val="0"/>
        <w:ind w:left="0" w:right="0"/>
        <w:jc w:val="both"/>
      </w:pPr>
      <w:r>
        <w:rPr>
          <w:color w:val="333333"/>
        </w:rPr>
        <w:t>　　1、具有技术优势。在该技术领域内，在国内同行业中有一定影响，具有雄厚科研与开发实力，已承担、完成国家或省科技计划项目任务，取得一批先进适用的科技成果。</w:t>
      </w:r>
    </w:p>
    <w:p>
      <w:pPr>
        <w:pStyle w:val="2"/>
        <w:keepNext w:val="0"/>
        <w:keepLines w:val="0"/>
        <w:widowControl/>
        <w:suppressLineNumbers w:val="0"/>
        <w:ind w:left="0" w:right="0"/>
        <w:jc w:val="both"/>
      </w:pPr>
      <w:r>
        <w:rPr>
          <w:color w:val="333333"/>
        </w:rPr>
        <w:t>　　2、具有专职工作团队。专职从事工程技术研究或技术服务的人员一般不少于15人，其中高中级职称专业人员占50%以上；拥有技术水平高、工程化实践经验丰富的工程技术带头人，年龄不超过60岁。</w:t>
      </w:r>
    </w:p>
    <w:p>
      <w:pPr>
        <w:pStyle w:val="2"/>
        <w:keepNext w:val="0"/>
        <w:keepLines w:val="0"/>
        <w:widowControl/>
        <w:suppressLineNumbers w:val="0"/>
        <w:ind w:left="0" w:right="0"/>
        <w:jc w:val="both"/>
      </w:pPr>
      <w:r>
        <w:rPr>
          <w:color w:val="333333"/>
        </w:rPr>
        <w:t>　　3、具有较好基础条件。具备科研成果工程化所需要的测试手段、实验设备、试验条件和科研开发场所等基础设施。</w:t>
      </w:r>
    </w:p>
    <w:p>
      <w:pPr>
        <w:pStyle w:val="2"/>
        <w:keepNext w:val="0"/>
        <w:keepLines w:val="0"/>
        <w:widowControl/>
        <w:suppressLineNumbers w:val="0"/>
        <w:ind w:left="0" w:right="0"/>
        <w:jc w:val="both"/>
      </w:pPr>
      <w:r>
        <w:rPr>
          <w:color w:val="333333"/>
        </w:rPr>
        <w:t>　　4、具有一定工程化经验。已从事工程化研究开发和技术服务一年以上，有较强的项目管理能力和可持续发展的运行机制。</w:t>
      </w:r>
    </w:p>
    <w:p>
      <w:pPr>
        <w:pStyle w:val="2"/>
        <w:keepNext w:val="0"/>
        <w:keepLines w:val="0"/>
        <w:widowControl/>
        <w:suppressLineNumbers w:val="0"/>
        <w:ind w:left="0" w:right="0"/>
        <w:jc w:val="both"/>
      </w:pPr>
      <w:r>
        <w:rPr>
          <w:color w:val="333333"/>
        </w:rPr>
        <w:t>　　5、具有较好财务管理能力。财务管理规范，单独设账，单独核算，并有较强的资金筹措能力。</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第四条</w:t>
      </w:r>
      <w:r>
        <w:rPr>
          <w:rFonts w:hint="eastAsia" w:ascii="宋体" w:hAnsi="宋体" w:eastAsia="宋体" w:cs="宋体"/>
          <w:color w:val="333333"/>
          <w:sz w:val="21"/>
          <w:szCs w:val="21"/>
        </w:rPr>
        <w:t> 省级工程技术研究中心命名规则：福建省XXXXXX工程技术研究中心。</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第五条</w:t>
      </w:r>
      <w:r>
        <w:rPr>
          <w:rFonts w:hint="eastAsia" w:ascii="宋体" w:hAnsi="宋体" w:eastAsia="宋体" w:cs="宋体"/>
          <w:color w:val="333333"/>
          <w:sz w:val="21"/>
          <w:szCs w:val="21"/>
        </w:rPr>
        <w:t> 凡符合省级工程技术研究中心基本条件要求的在闽企事业单位和机构，可申请省级工程技术研究中心的评估。申请者须填报提交《福建省工程技术研究中心评估申请表》，经主管部门审核后，报送省科技厅发展计划处。</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第六条</w:t>
      </w:r>
      <w:r>
        <w:rPr>
          <w:rFonts w:hint="eastAsia" w:ascii="宋体" w:hAnsi="宋体" w:eastAsia="宋体" w:cs="宋体"/>
          <w:color w:val="333333"/>
          <w:sz w:val="21"/>
          <w:szCs w:val="21"/>
        </w:rPr>
        <w:t> 省科技厅发展计划处组织专家或委托有关机构对申请材料进行形式审查，实地核查申请材料和数据，并依据《福建省工程技术研究中心评估指标体系》（另发）对工程技术研究中心运行状况进行综合评估，形成评估报告。</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第七条</w:t>
      </w:r>
      <w:r>
        <w:rPr>
          <w:rFonts w:hint="eastAsia" w:ascii="宋体" w:hAnsi="宋体" w:eastAsia="宋体" w:cs="宋体"/>
          <w:color w:val="333333"/>
          <w:sz w:val="21"/>
          <w:szCs w:val="21"/>
        </w:rPr>
        <w:t> 评估报告经省科技厅相关业务处室审核，省科技厅发展计划处汇总，报厅长办公会议审定。</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第八条</w:t>
      </w:r>
      <w:r>
        <w:rPr>
          <w:rFonts w:hint="eastAsia" w:ascii="宋体" w:hAnsi="宋体" w:eastAsia="宋体" w:cs="宋体"/>
          <w:color w:val="333333"/>
          <w:sz w:val="21"/>
          <w:szCs w:val="21"/>
        </w:rPr>
        <w:t> 评估结果在福建科技网等媒体公告。评估合格者，省科技厅授予“省级工程技术研究中心”的匾牌，并纳入省科技创新平台管理体系。</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第九条</w:t>
      </w:r>
      <w:r>
        <w:rPr>
          <w:rFonts w:hint="eastAsia" w:ascii="宋体" w:hAnsi="宋体" w:eastAsia="宋体" w:cs="宋体"/>
          <w:color w:val="333333"/>
          <w:sz w:val="21"/>
          <w:szCs w:val="21"/>
        </w:rPr>
        <w:t> 省级工程技术研究中心应在每年1月31日前，向省科技厅报送上一年度工作总结和本年度工作计划。</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第十条</w:t>
      </w:r>
      <w:r>
        <w:rPr>
          <w:rFonts w:hint="eastAsia" w:ascii="宋体" w:hAnsi="宋体" w:eastAsia="宋体" w:cs="宋体"/>
          <w:color w:val="333333"/>
          <w:sz w:val="21"/>
          <w:szCs w:val="21"/>
        </w:rPr>
        <w:t> 省科技厅每两年进行一次评估。评估优秀的省级工程技术研究中心可优先获得省科技计划项目支持，优先获得科技创新平台建设经费支持和鼓励，并择优推荐申报国家级工程技术研究中心。</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第十一条</w:t>
      </w:r>
      <w:r>
        <w:rPr>
          <w:rFonts w:hint="eastAsia" w:ascii="宋体" w:hAnsi="宋体" w:eastAsia="宋体" w:cs="宋体"/>
          <w:color w:val="333333"/>
          <w:sz w:val="21"/>
          <w:szCs w:val="21"/>
        </w:rPr>
        <w:t> 对于评估不合格者，限期半年整改，整改后再评估不通过者，撤销省级工程技术研究中心称号，不再纳入省科技创新平台管理体系，并在福建科技网公告。逾期不报送评估材料者视为自动退出省科技创新平台管理体系。</w:t>
      </w:r>
    </w:p>
    <w:p>
      <w:pPr>
        <w:pStyle w:val="2"/>
        <w:keepNext w:val="0"/>
        <w:keepLines w:val="0"/>
        <w:widowControl/>
        <w:suppressLineNumbers w:val="0"/>
        <w:spacing w:before="210" w:beforeAutospacing="0" w:after="210" w:afterAutospacing="0" w:line="21" w:lineRule="atLeast"/>
        <w:jc w:val="both"/>
        <w:rPr>
          <w:rFonts w:hint="eastAsia" w:ascii="宋体" w:hAnsi="宋体" w:eastAsia="宋体" w:cs="宋体"/>
          <w:sz w:val="21"/>
          <w:szCs w:val="21"/>
        </w:rPr>
      </w:pPr>
      <w:r>
        <w:rPr>
          <w:rFonts w:hint="eastAsia" w:ascii="宋体" w:hAnsi="宋体" w:eastAsia="宋体" w:cs="宋体"/>
          <w:color w:val="333333"/>
          <w:sz w:val="21"/>
          <w:szCs w:val="21"/>
        </w:rPr>
        <w:t>　　</w:t>
      </w:r>
      <w:r>
        <w:rPr>
          <w:rStyle w:val="5"/>
          <w:rFonts w:hint="eastAsia" w:ascii="宋体" w:hAnsi="宋体" w:eastAsia="宋体" w:cs="宋体"/>
          <w:color w:val="333333"/>
          <w:sz w:val="21"/>
          <w:szCs w:val="21"/>
        </w:rPr>
        <w:t>第十二条</w:t>
      </w:r>
      <w:r>
        <w:rPr>
          <w:rFonts w:hint="eastAsia" w:ascii="宋体" w:hAnsi="宋体" w:eastAsia="宋体" w:cs="宋体"/>
          <w:color w:val="333333"/>
          <w:sz w:val="21"/>
          <w:szCs w:val="21"/>
        </w:rPr>
        <w:t> 本细则未尽事项按《福建省科技创新平台建设计划管理办法》执行。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
    <w:altName w:val="Segoe Print"/>
    <w:panose1 w:val="00000000000000000000"/>
    <w:charset w:val="00"/>
    <w:family w:val="auto"/>
    <w:pitch w:val="default"/>
    <w:sig w:usb0="00000000" w:usb1="00000000" w:usb2="00000000" w:usb3="00000000" w:csb0="00000000" w:csb1="00000000"/>
  </w:font>
  <w:font w:name="trt-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iYzYyZWQ4ZTY4OWUzNTNkYjM0NTY0YWFlM2UzZWIifQ=="/>
  </w:docVars>
  <w:rsids>
    <w:rsidRoot w:val="53730FE9"/>
    <w:rsid w:val="5373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customStyle="1" w:styleId="9">
    <w:name w:val="on"/>
    <w:basedOn w:val="4"/>
    <w:uiPriority w:val="0"/>
    <w:rPr>
      <w:color w:val="FFFFFF"/>
      <w:shd w:val="clear" w:fill="1658A0"/>
    </w:rPr>
  </w:style>
  <w:style w:type="character" w:customStyle="1" w:styleId="10">
    <w:name w:val="before"/>
    <w:basedOn w:val="4"/>
    <w:uiPriority w:val="0"/>
    <w:rPr>
      <w:shd w:val="clear" w:fill="E2E2E2"/>
    </w:rPr>
  </w:style>
  <w:style w:type="character" w:customStyle="1" w:styleId="11">
    <w:name w:val="before1"/>
    <w:basedOn w:val="4"/>
    <w:uiPriority w:val="0"/>
    <w:rPr>
      <w:shd w:val="clear" w:fill="1658A0"/>
    </w:rPr>
  </w:style>
  <w:style w:type="character" w:customStyle="1" w:styleId="12">
    <w:name w:val="before2"/>
    <w:basedOn w:val="4"/>
    <w:uiPriority w:val="0"/>
    <w:rPr>
      <w:bdr w:val="single" w:color="DE0000" w:sz="12" w:space="0"/>
      <w:shd w:val="clear" w:fill="FFF1F1"/>
    </w:rPr>
  </w:style>
  <w:style w:type="character" w:customStyle="1" w:styleId="13">
    <w:name w:val="before3"/>
    <w:basedOn w:val="4"/>
    <w:uiPriority w:val="0"/>
    <w:rPr>
      <w:shd w:val="clear" w:fill="1658A0"/>
    </w:rPr>
  </w:style>
  <w:style w:type="character" w:customStyle="1" w:styleId="14">
    <w:name w:val="before4"/>
    <w:basedOn w:val="4"/>
    <w:uiPriority w:val="0"/>
    <w:rPr>
      <w:shd w:val="clear" w:fill="CFE7FF"/>
    </w:rPr>
  </w:style>
  <w:style w:type="character" w:customStyle="1" w:styleId="15">
    <w:name w:val="before5"/>
    <w:basedOn w:val="4"/>
    <w:uiPriority w:val="0"/>
    <w:rPr>
      <w:shd w:val="clear" w:fill="2A82E4"/>
    </w:rPr>
  </w:style>
  <w:style w:type="character" w:customStyle="1" w:styleId="16">
    <w:name w:val="before6"/>
    <w:basedOn w:val="4"/>
    <w:uiPriority w:val="0"/>
    <w:rPr>
      <w:shd w:val="clear" w:fill="CC0000"/>
    </w:rPr>
  </w:style>
  <w:style w:type="character" w:customStyle="1" w:styleId="17">
    <w:name w:val="before7"/>
    <w:basedOn w:val="4"/>
    <w:uiPriority w:val="0"/>
    <w:rPr>
      <w:vanish/>
    </w:rPr>
  </w:style>
  <w:style w:type="character" w:customStyle="1" w:styleId="18">
    <w:name w:val="before8"/>
    <w:basedOn w:val="4"/>
    <w:uiPriority w:val="0"/>
    <w:rPr>
      <w:shd w:val="clear" w:fill="1658A0"/>
    </w:rPr>
  </w:style>
  <w:style w:type="character" w:customStyle="1" w:styleId="19">
    <w:name w:val="fy_go8"/>
    <w:basedOn w:val="4"/>
    <w:uiPriority w:val="0"/>
    <w:rPr>
      <w:color w:val="555555"/>
      <w:bdr w:val="single" w:color="D9D9D9" w:sz="6" w:space="0"/>
      <w:shd w:val="clear" w:fill="FFFFFF"/>
    </w:rPr>
  </w:style>
  <w:style w:type="character" w:customStyle="1" w:styleId="20">
    <w:name w:val="share"/>
    <w:basedOn w:val="4"/>
    <w:uiPriority w:val="0"/>
  </w:style>
  <w:style w:type="character" w:customStyle="1" w:styleId="21">
    <w:name w:val="after8"/>
    <w:basedOn w:val="4"/>
    <w:uiPriority w:val="0"/>
    <w:rPr>
      <w:shd w:val="clear" w:fill="DE0000"/>
    </w:rPr>
  </w:style>
  <w:style w:type="character" w:customStyle="1" w:styleId="22">
    <w:name w:val="after9"/>
    <w:basedOn w:val="4"/>
    <w:uiPriority w:val="0"/>
    <w:rPr>
      <w:shd w:val="clear" w:fill="1658A0"/>
    </w:rPr>
  </w:style>
  <w:style w:type="character" w:customStyle="1" w:styleId="23">
    <w:name w:val="after10"/>
    <w:basedOn w:val="4"/>
    <w:uiPriority w:val="0"/>
    <w:rPr>
      <w:shd w:val="clear" w:fill="CC0000"/>
    </w:rPr>
  </w:style>
  <w:style w:type="character" w:customStyle="1" w:styleId="24">
    <w:name w:val="after11"/>
    <w:basedOn w:val="4"/>
    <w:uiPriority w:val="0"/>
    <w:rPr>
      <w:color w:val="C9C9C9"/>
    </w:rPr>
  </w:style>
  <w:style w:type="character" w:customStyle="1" w:styleId="25">
    <w:name w:val="down"/>
    <w:basedOn w:val="4"/>
    <w:uiPriority w:val="0"/>
  </w:style>
  <w:style w:type="character" w:customStyle="1" w:styleId="26">
    <w:name w:val="last-child2"/>
    <w:basedOn w:val="4"/>
    <w:uiPriority w:val="0"/>
  </w:style>
  <w:style w:type="character" w:customStyle="1" w:styleId="27">
    <w:name w:val="last-child3"/>
    <w:basedOn w:val="4"/>
    <w:uiPriority w:val="0"/>
  </w:style>
  <w:style w:type="character" w:customStyle="1" w:styleId="28">
    <w:name w:val="last-child4"/>
    <w:basedOn w:val="4"/>
    <w:uiPriority w:val="0"/>
  </w:style>
  <w:style w:type="character" w:customStyle="1" w:styleId="29">
    <w:name w:val="scroll_top"/>
    <w:basedOn w:val="4"/>
    <w:uiPriority w:val="0"/>
    <w:rPr>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2023-09-19T03:22:00Z</dcterms:created>
  <dc:creator>xxjs</dc:creator>
  <cp:lastModifiedBy>xxjs</cp:lastModifiedBy>
  <dcterms:modified xsi:type="dcterms:W3CDTF">2023-09-19T03:23:38Z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DD33D079B3A6474EA46196D5FD66442A_11</vt:lpwstr>
  </property>
</Properties>
</file>