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920" w:type="dxa"/>
        <w:tblInd w:w="0" w:type="dxa"/>
        <w:tblLayout w:type="fixed"/>
        <w:tblCellMar>
          <w:top w:w="0" w:type="dxa"/>
          <w:left w:w="28" w:type="dxa"/>
          <w:bottom w:w="0" w:type="dxa"/>
          <w:right w:w="28" w:type="dxa"/>
        </w:tblCellMar>
      </w:tblPr>
      <w:tblGrid>
        <w:gridCol w:w="6702"/>
        <w:gridCol w:w="2218"/>
      </w:tblGrid>
      <w:tr w14:paraId="74221744">
        <w:tblPrEx>
          <w:tblCellMar>
            <w:top w:w="0" w:type="dxa"/>
            <w:left w:w="28" w:type="dxa"/>
            <w:bottom w:w="0" w:type="dxa"/>
            <w:right w:w="28" w:type="dxa"/>
          </w:tblCellMar>
        </w:tblPrEx>
        <w:trPr>
          <w:trHeight w:val="90" w:hRule="exact"/>
        </w:trPr>
        <w:tc>
          <w:tcPr>
            <w:tcW w:w="8920" w:type="dxa"/>
            <w:gridSpan w:val="2"/>
            <w:noWrap w:val="0"/>
            <w:vAlign w:val="center"/>
          </w:tcPr>
          <w:p w14:paraId="00AD1518">
            <w:pPr>
              <w:adjustRightInd w:val="0"/>
              <w:snapToGrid w:val="0"/>
              <w:spacing w:before="100" w:beforeAutospacing="1" w:after="100" w:afterAutospacing="1"/>
              <w:ind w:right="502" w:rightChars="157"/>
              <w:textAlignment w:val="bottom"/>
              <w:rPr>
                <w:rFonts w:eastAsia="黑体"/>
              </w:rPr>
            </w:pPr>
          </w:p>
        </w:tc>
      </w:tr>
      <w:tr w14:paraId="0E88A632">
        <w:tblPrEx>
          <w:tblCellMar>
            <w:top w:w="0" w:type="dxa"/>
            <w:left w:w="28" w:type="dxa"/>
            <w:bottom w:w="0" w:type="dxa"/>
            <w:right w:w="28" w:type="dxa"/>
          </w:tblCellMar>
        </w:tblPrEx>
        <w:trPr>
          <w:trHeight w:val="1560" w:hRule="atLeast"/>
        </w:trPr>
        <w:tc>
          <w:tcPr>
            <w:tcW w:w="6702" w:type="dxa"/>
            <w:noWrap w:val="0"/>
            <w:vAlign w:val="center"/>
          </w:tcPr>
          <w:p w14:paraId="10B8F640">
            <w:pPr>
              <w:adjustRightInd w:val="0"/>
              <w:snapToGrid w:val="0"/>
              <w:spacing w:before="100" w:beforeAutospacing="1" w:after="100" w:afterAutospacing="1" w:line="1180" w:lineRule="exact"/>
              <w:jc w:val="distribute"/>
              <w:textAlignment w:val="bottom"/>
              <w:rPr>
                <w:rFonts w:hint="eastAsia" w:ascii="方正小标宋简体" w:eastAsia="方正小标宋简体" w:cs="方正小标宋简体"/>
                <w:bCs/>
                <w:color w:val="FF0000"/>
                <w:sz w:val="72"/>
                <w:szCs w:val="72"/>
              </w:rPr>
            </w:pPr>
            <w:bookmarkStart w:id="0" w:name="fhead1"/>
            <w:r>
              <w:rPr>
                <w:rFonts w:hint="eastAsia" w:ascii="方正小标宋简体" w:eastAsia="方正小标宋简体" w:cs="方正小标宋简体"/>
                <w:bCs/>
                <w:color w:val="FF0000"/>
                <w:sz w:val="72"/>
                <w:szCs w:val="72"/>
              </w:rPr>
              <w:t>福建省科学技术厅</w:t>
            </w:r>
            <w:bookmarkEnd w:id="0"/>
          </w:p>
          <w:p w14:paraId="07237174">
            <w:pPr>
              <w:adjustRightInd w:val="0"/>
              <w:snapToGrid w:val="0"/>
              <w:spacing w:before="100" w:beforeAutospacing="1" w:after="100" w:afterAutospacing="1" w:line="1180" w:lineRule="exact"/>
              <w:jc w:val="distribute"/>
              <w:textAlignment w:val="bottom"/>
              <w:rPr>
                <w:rFonts w:hint="eastAsia" w:ascii="方正小标宋简体" w:eastAsia="方正小标宋简体" w:cs="方正小标宋简体"/>
                <w:bCs/>
                <w:color w:val="FF0000"/>
                <w:sz w:val="72"/>
                <w:szCs w:val="72"/>
                <w:lang w:eastAsia="zh-CN"/>
              </w:rPr>
            </w:pPr>
            <w:r>
              <w:rPr>
                <w:rFonts w:hint="eastAsia" w:ascii="方正小标宋简体" w:eastAsia="方正小标宋简体" w:cs="方正小标宋简体"/>
                <w:bCs/>
                <w:color w:val="FF0000"/>
                <w:sz w:val="72"/>
                <w:szCs w:val="72"/>
                <w:lang w:eastAsia="zh-CN"/>
              </w:rPr>
              <w:t>中共福建省委宣传部</w:t>
            </w:r>
          </w:p>
          <w:p w14:paraId="10117817">
            <w:pPr>
              <w:adjustRightInd w:val="0"/>
              <w:snapToGrid w:val="0"/>
              <w:spacing w:before="100" w:beforeAutospacing="1" w:after="100" w:afterAutospacing="1" w:line="1180" w:lineRule="exact"/>
              <w:jc w:val="distribute"/>
              <w:textAlignment w:val="bottom"/>
              <w:rPr>
                <w:rFonts w:hint="eastAsia" w:ascii="方正小标宋简体" w:eastAsia="方正小标宋简体" w:cs="方正小标宋简体"/>
                <w:b/>
                <w:bCs/>
                <w:color w:val="FF0000"/>
                <w:sz w:val="72"/>
                <w:szCs w:val="72"/>
              </w:rPr>
            </w:pPr>
            <w:r>
              <w:rPr>
                <w:rFonts w:hint="eastAsia" w:ascii="方正小标宋简体" w:eastAsia="方正小标宋简体" w:cs="方正小标宋简体"/>
                <w:bCs/>
                <w:color w:val="FF0000"/>
                <w:sz w:val="72"/>
                <w:szCs w:val="72"/>
              </w:rPr>
              <w:t>福建省广播电视局</w:t>
            </w:r>
          </w:p>
        </w:tc>
        <w:tc>
          <w:tcPr>
            <w:tcW w:w="2218" w:type="dxa"/>
            <w:noWrap w:val="0"/>
            <w:vAlign w:val="center"/>
          </w:tcPr>
          <w:p w14:paraId="575A0A98">
            <w:pPr>
              <w:adjustRightInd w:val="0"/>
              <w:snapToGrid w:val="0"/>
              <w:spacing w:before="100" w:beforeAutospacing="1" w:after="100" w:afterAutospacing="1" w:line="1180" w:lineRule="exact"/>
              <w:ind w:firstLine="360" w:firstLineChars="50"/>
              <w:textAlignment w:val="bottom"/>
              <w:rPr>
                <w:rFonts w:hint="eastAsia" w:ascii="方正小标宋简体" w:eastAsia="方正小标宋简体" w:cs="方正小标宋简体"/>
                <w:bCs/>
                <w:color w:val="FF0000"/>
                <w:sz w:val="72"/>
                <w:szCs w:val="72"/>
              </w:rPr>
            </w:pPr>
            <w:bookmarkStart w:id="1" w:name="fhead2"/>
            <w:r>
              <w:rPr>
                <w:rFonts w:hint="eastAsia" w:ascii="方正小标宋简体" w:eastAsia="方正小标宋简体" w:cs="方正小标宋简体"/>
                <w:bCs/>
                <w:color w:val="FF0000"/>
                <w:sz w:val="72"/>
                <w:szCs w:val="72"/>
              </w:rPr>
              <w:t>文 件</w:t>
            </w:r>
            <w:bookmarkEnd w:id="1"/>
          </w:p>
        </w:tc>
      </w:tr>
      <w:tr w14:paraId="3183797E">
        <w:tblPrEx>
          <w:tblCellMar>
            <w:top w:w="0" w:type="dxa"/>
            <w:left w:w="28" w:type="dxa"/>
            <w:bottom w:w="0" w:type="dxa"/>
            <w:right w:w="28" w:type="dxa"/>
          </w:tblCellMar>
        </w:tblPrEx>
        <w:trPr>
          <w:trHeight w:val="931" w:hRule="exact"/>
        </w:trPr>
        <w:tc>
          <w:tcPr>
            <w:tcW w:w="8920" w:type="dxa"/>
            <w:gridSpan w:val="2"/>
            <w:noWrap w:val="0"/>
            <w:vAlign w:val="bottom"/>
          </w:tcPr>
          <w:p w14:paraId="682B80E0">
            <w:pPr>
              <w:spacing w:line="0" w:lineRule="atLeast"/>
              <w:jc w:val="center"/>
              <w:rPr>
                <w:rFonts w:hint="eastAsia" w:ascii="仿宋" w:hAnsi="仿宋"/>
              </w:rPr>
            </w:pPr>
            <w:bookmarkStart w:id="2" w:name="fwh"/>
            <w:bookmarkEnd w:id="2"/>
          </w:p>
          <w:p w14:paraId="5BFE0C19">
            <w:pPr>
              <w:spacing w:line="0" w:lineRule="atLeast"/>
              <w:jc w:val="center"/>
              <w:rPr>
                <w:rFonts w:hint="eastAsia" w:ascii="仿宋_GB2312" w:hAnsi="仿宋_GB2312" w:eastAsia="仿宋_GB2312" w:cs="仿宋_GB2312"/>
              </w:rPr>
            </w:pPr>
            <w:r>
              <w:rPr>
                <w:rFonts w:hint="eastAsia" w:ascii="仿宋_GB2312" w:hAnsi="仿宋_GB2312" w:eastAsia="仿宋_GB2312" w:cs="仿宋_GB2312"/>
              </w:rPr>
              <w:t>闽科</w:t>
            </w:r>
            <w:r>
              <w:rPr>
                <w:rFonts w:hint="eastAsia" w:ascii="仿宋_GB2312" w:hAnsi="仿宋_GB2312" w:eastAsia="仿宋_GB2312" w:cs="仿宋_GB2312"/>
                <w:lang w:eastAsia="zh-CN"/>
              </w:rPr>
              <w:t>规</w:t>
            </w: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7</w:t>
            </w:r>
            <w:r>
              <w:rPr>
                <w:rFonts w:hint="eastAsia" w:ascii="仿宋_GB2312" w:hAnsi="仿宋_GB2312" w:eastAsia="仿宋_GB2312" w:cs="仿宋_GB2312"/>
              </w:rPr>
              <w:t>号</w:t>
            </w:r>
          </w:p>
          <w:p w14:paraId="510BF1C0">
            <w:pPr>
              <w:adjustRightInd w:val="0"/>
              <w:snapToGrid w:val="0"/>
              <w:spacing w:before="120" w:line="318" w:lineRule="atLeast"/>
              <w:ind w:right="339" w:firstLine="256" w:firstLineChars="80"/>
              <w:jc w:val="center"/>
              <w:textAlignment w:val="bottom"/>
              <w:rPr>
                <w:rFonts w:ascii="仿宋"/>
              </w:rPr>
            </w:pPr>
          </w:p>
        </w:tc>
      </w:tr>
      <w:tr w14:paraId="36330789">
        <w:tblPrEx>
          <w:tblCellMar>
            <w:top w:w="0" w:type="dxa"/>
            <w:left w:w="28" w:type="dxa"/>
            <w:bottom w:w="0" w:type="dxa"/>
            <w:right w:w="28" w:type="dxa"/>
          </w:tblCellMar>
        </w:tblPrEx>
        <w:trPr>
          <w:trHeight w:val="92" w:hRule="exact"/>
        </w:trPr>
        <w:tc>
          <w:tcPr>
            <w:tcW w:w="8920" w:type="dxa"/>
            <w:gridSpan w:val="2"/>
            <w:noWrap w:val="0"/>
            <w:vAlign w:val="top"/>
          </w:tcPr>
          <w:p w14:paraId="3E88C91E">
            <w:pPr>
              <w:adjustRightInd w:val="0"/>
              <w:snapToGrid w:val="0"/>
              <w:spacing w:line="240" w:lineRule="exact"/>
              <w:jc w:val="center"/>
              <w:rPr>
                <w:rFonts w:ascii="仿宋"/>
                <w:sz w:val="10"/>
                <w:szCs w:val="10"/>
              </w:rPr>
            </w:pPr>
            <w:bookmarkStart w:id="3" w:name="fline"/>
            <w:r>
              <mc:AlternateContent>
                <mc:Choice Requires="wps">
                  <w:drawing>
                    <wp:anchor distT="0" distB="0" distL="114300" distR="114300" simplePos="0" relativeHeight="251659264" behindDoc="1" locked="0" layoutInCell="1" allowOverlap="1">
                      <wp:simplePos x="0" y="0"/>
                      <wp:positionH relativeFrom="column">
                        <wp:align>center</wp:align>
                      </wp:positionH>
                      <wp:positionV relativeFrom="paragraph">
                        <wp:posOffset>71755</wp:posOffset>
                      </wp:positionV>
                      <wp:extent cx="5601335" cy="0"/>
                      <wp:effectExtent l="0" t="19050" r="18415" b="19050"/>
                      <wp:wrapTight wrapText="bothSides">
                        <wp:wrapPolygon>
                          <wp:start x="0" y="0"/>
                          <wp:lineTo x="0" y="0"/>
                          <wp:lineTo x="21524" y="0"/>
                          <wp:lineTo x="21524" y="0"/>
                          <wp:lineTo x="0" y="0"/>
                        </wp:wrapPolygon>
                      </wp:wrapTight>
                      <wp:docPr id="1" name="直接连接符 1"/>
                      <wp:cNvGraphicFramePr/>
                      <a:graphic xmlns:a="http://schemas.openxmlformats.org/drawingml/2006/main">
                        <a:graphicData uri="http://schemas.microsoft.com/office/word/2010/wordprocessingShape">
                          <wps:wsp>
                            <wps:cNvCnPr/>
                            <wps:spPr>
                              <a:xfrm>
                                <a:off x="0" y="0"/>
                                <a:ext cx="5601335"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5.65pt;height:0pt;width:441.05pt;mso-position-horizontal:center;mso-wrap-distance-left:9pt;mso-wrap-distance-right:9pt;z-index:-251657216;mso-width-relative:page;mso-height-relative:page;" filled="f" stroked="t" coordsize="21600,21600" wrapcoords="0 0 0 0 21524 0 21524 0 0 0" o:gfxdata="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WXizPXAAAABgEAAA8AAAAAAAAAAQAgAAAAIgAAAGRycy9kb3ducmV2&#10;LnhtbFBLAQIUABQAAAAIAIdO4kCqhro7/QEAAPMDAAAOAAAAAAAAAAEAIAAAACYBAABkcnMvZTJv&#10;RG9jLnhtbFBLBQYAAAAABgAGAFkBAACVBQAAAAA=&#10;">
                      <v:fill on="f" focussize="0,0"/>
                      <v:stroke weight="3pt" color="#FF0000" joinstyle="round"/>
                      <v:imagedata o:title=""/>
                      <o:lock v:ext="edit" aspectratio="f"/>
                      <w10:wrap type="tight"/>
                    </v:line>
                  </w:pict>
                </mc:Fallback>
              </mc:AlternateContent>
            </w:r>
            <w:bookmarkEnd w:id="3"/>
          </w:p>
        </w:tc>
      </w:tr>
    </w:tbl>
    <w:p w14:paraId="5AEF443A">
      <w:pPr>
        <w:spacing w:line="0" w:lineRule="atLeast"/>
        <w:jc w:val="center"/>
        <w:rPr>
          <w:rFonts w:hint="eastAsia" w:ascii="方正小标宋简体" w:hAnsi="仿宋" w:eastAsia="方正小标宋简体"/>
          <w:sz w:val="36"/>
          <w:szCs w:val="36"/>
        </w:rPr>
      </w:pPr>
      <w:bookmarkStart w:id="4" w:name="_GoBack"/>
      <w:bookmarkEnd w:id="4"/>
    </w:p>
    <w:p w14:paraId="47BEB8CB">
      <w:pPr>
        <w:spacing w:line="0" w:lineRule="atLeast"/>
        <w:jc w:val="center"/>
        <w:rPr>
          <w:rFonts w:hint="eastAsia" w:ascii="方正小标宋简体" w:hAnsi="仿宋" w:eastAsia="方正小标宋简体"/>
          <w:sz w:val="36"/>
          <w:szCs w:val="36"/>
        </w:rPr>
      </w:pPr>
      <w:r>
        <w:rPr>
          <w:rFonts w:hint="eastAsia" w:ascii="方正小标宋简体" w:hAnsi="仿宋" w:eastAsia="方正小标宋简体"/>
          <w:sz w:val="36"/>
          <w:szCs w:val="36"/>
        </w:rPr>
        <w:t xml:space="preserve">                                                                                                                                                                     </w:t>
      </w:r>
    </w:p>
    <w:p w14:paraId="24929D9F">
      <w:pPr>
        <w:spacing w:line="0" w:lineRule="atLeast"/>
        <w:jc w:val="center"/>
        <w:rPr>
          <w:rFonts w:hint="eastAsia" w:ascii="方正小标宋简体" w:hAnsi="仿宋" w:eastAsia="方正小标宋简体"/>
          <w:sz w:val="44"/>
          <w:szCs w:val="44"/>
          <w:lang w:val="en-US" w:eastAsia="zh-CN"/>
        </w:rPr>
      </w:pPr>
      <w:r>
        <w:rPr>
          <w:rFonts w:hint="eastAsia" w:ascii="方正小标宋简体" w:hAnsi="仿宋" w:eastAsia="方正小标宋简体"/>
          <w:sz w:val="44"/>
          <w:szCs w:val="44"/>
        </w:rPr>
        <w:t xml:space="preserve">福建省科学技术厅 </w:t>
      </w:r>
      <w:r>
        <w:rPr>
          <w:rFonts w:hint="eastAsia" w:ascii="方正小标宋简体" w:hAnsi="仿宋" w:eastAsia="方正小标宋简体"/>
          <w:sz w:val="44"/>
          <w:szCs w:val="44"/>
          <w:lang w:eastAsia="zh-CN"/>
        </w:rPr>
        <w:t>中共福建省委宣传部</w:t>
      </w:r>
      <w:r>
        <w:rPr>
          <w:rFonts w:hint="eastAsia" w:ascii="方正小标宋简体" w:hAnsi="仿宋" w:eastAsia="方正小标宋简体"/>
          <w:sz w:val="44"/>
          <w:szCs w:val="44"/>
          <w:lang w:val="en-US" w:eastAsia="zh-CN"/>
        </w:rPr>
        <w:t xml:space="preserve"> </w:t>
      </w:r>
    </w:p>
    <w:p w14:paraId="29FB4292">
      <w:pPr>
        <w:spacing w:line="0" w:lineRule="atLeas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福建省广播电视局关于印发《福建省免税进口科普影视作品</w:t>
      </w:r>
      <w:r>
        <w:rPr>
          <w:rFonts w:hint="eastAsia" w:ascii="方正小标宋简体" w:hAnsi="仿宋" w:eastAsia="方正小标宋简体"/>
          <w:sz w:val="44"/>
          <w:szCs w:val="44"/>
          <w:lang w:eastAsia="zh-CN"/>
        </w:rPr>
        <w:t>核定管理办法</w:t>
      </w:r>
      <w:r>
        <w:rPr>
          <w:rFonts w:hint="eastAsia" w:ascii="方正小标宋简体" w:hAnsi="仿宋" w:eastAsia="方正小标宋简体"/>
          <w:sz w:val="44"/>
          <w:szCs w:val="44"/>
        </w:rPr>
        <w:t>》的通知</w:t>
      </w:r>
    </w:p>
    <w:p w14:paraId="58F3332C">
      <w:pPr>
        <w:spacing w:line="0" w:lineRule="atLeast"/>
        <w:jc w:val="center"/>
        <w:rPr>
          <w:rFonts w:hint="eastAsia" w:ascii="仿宋" w:hAnsi="仿宋"/>
        </w:rPr>
      </w:pPr>
    </w:p>
    <w:p w14:paraId="025D4684">
      <w:pPr>
        <w:widowControl/>
        <w:jc w:val="left"/>
        <w:rPr>
          <w:rFonts w:hint="eastAsia" w:ascii="仿宋_GB2312" w:hAnsi="仿宋_GB2312" w:eastAsia="仿宋_GB2312" w:cs="仿宋_GB2312"/>
        </w:rPr>
      </w:pPr>
      <w:r>
        <w:rPr>
          <w:rFonts w:hint="eastAsia" w:ascii="仿宋_GB2312" w:hAnsi="仿宋_GB2312" w:eastAsia="仿宋_GB2312" w:cs="仿宋_GB2312"/>
        </w:rPr>
        <w:t>各设区市科技局、党委宣传部</w:t>
      </w:r>
      <w:r>
        <w:rPr>
          <w:rFonts w:hint="eastAsia" w:ascii="仿宋_GB2312" w:hAnsi="仿宋_GB2312" w:eastAsia="仿宋_GB2312" w:cs="仿宋_GB2312"/>
          <w:lang w:eastAsia="zh-CN"/>
        </w:rPr>
        <w:t>、</w:t>
      </w:r>
      <w:r>
        <w:rPr>
          <w:rFonts w:hint="eastAsia" w:ascii="仿宋_GB2312" w:hAnsi="仿宋_GB2312" w:eastAsia="仿宋_GB2312" w:cs="仿宋_GB2312"/>
        </w:rPr>
        <w:t>广电局，平潭综合实验区经发局、党工委宣传</w:t>
      </w:r>
      <w:r>
        <w:rPr>
          <w:rFonts w:hint="eastAsia" w:ascii="仿宋_GB2312" w:hAnsi="仿宋_GB2312" w:eastAsia="仿宋_GB2312" w:cs="仿宋_GB2312"/>
          <w:lang w:eastAsia="zh-CN"/>
        </w:rPr>
        <w:t>与影视发展</w:t>
      </w:r>
      <w:r>
        <w:rPr>
          <w:rFonts w:hint="eastAsia" w:ascii="仿宋_GB2312" w:hAnsi="仿宋_GB2312" w:eastAsia="仿宋_GB2312" w:cs="仿宋_GB2312"/>
        </w:rPr>
        <w:t>部、广电局，各有关单位：</w:t>
      </w:r>
    </w:p>
    <w:p w14:paraId="13F8F893">
      <w:pPr>
        <w:widowControl/>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rPr>
        <w:t>现将《福建省</w:t>
      </w:r>
      <w:r>
        <w:rPr>
          <w:rFonts w:hint="eastAsia" w:ascii="仿宋_GB2312" w:hAnsi="仿宋_GB2312" w:eastAsia="仿宋_GB2312" w:cs="仿宋_GB2312"/>
          <w:lang w:eastAsia="zh-CN"/>
        </w:rPr>
        <w:t>免税进口</w:t>
      </w:r>
      <w:r>
        <w:rPr>
          <w:rFonts w:hint="eastAsia" w:ascii="仿宋_GB2312" w:hAnsi="仿宋_GB2312" w:eastAsia="仿宋_GB2312" w:cs="仿宋_GB2312"/>
        </w:rPr>
        <w:t>科普影视作品</w:t>
      </w:r>
      <w:r>
        <w:rPr>
          <w:rFonts w:hint="eastAsia" w:ascii="仿宋_GB2312" w:hAnsi="仿宋_GB2312" w:eastAsia="仿宋_GB2312" w:cs="仿宋_GB2312"/>
          <w:lang w:eastAsia="zh-CN"/>
        </w:rPr>
        <w:t>核定管理办法</w:t>
      </w:r>
      <w:r>
        <w:rPr>
          <w:rFonts w:hint="eastAsia" w:ascii="仿宋_GB2312" w:hAnsi="仿宋_GB2312" w:eastAsia="仿宋_GB2312" w:cs="仿宋_GB2312"/>
        </w:rPr>
        <w:t>》印发给你们，请遵照执行。</w:t>
      </w:r>
    </w:p>
    <w:p w14:paraId="2AFFAFF1">
      <w:pPr>
        <w:rPr>
          <w:rFonts w:hint="eastAsia" w:ascii="仿宋_GB2312" w:hAnsi="仿宋_GB2312" w:eastAsia="仿宋_GB2312" w:cs="仿宋_GB2312"/>
        </w:rPr>
      </w:pPr>
    </w:p>
    <w:p w14:paraId="50256CCF">
      <w:pPr>
        <w:spacing w:line="0" w:lineRule="atLeast"/>
        <w:ind w:firstLine="1248" w:firstLineChars="400"/>
        <w:rPr>
          <w:rFonts w:hint="eastAsia" w:ascii="仿宋_GB2312" w:hAnsi="仿宋_GB2312" w:eastAsia="仿宋_GB2312" w:cs="仿宋_GB2312"/>
          <w:spacing w:val="-4"/>
        </w:rPr>
      </w:pPr>
    </w:p>
    <w:p w14:paraId="1E56E261">
      <w:pPr>
        <w:spacing w:line="0" w:lineRule="atLeast"/>
        <w:rPr>
          <w:rFonts w:hint="eastAsia" w:ascii="仿宋_GB2312" w:hAnsi="仿宋_GB2312" w:eastAsia="仿宋_GB2312" w:cs="仿宋_GB2312"/>
          <w:spacing w:val="-4"/>
        </w:rPr>
      </w:pPr>
    </w:p>
    <w:p w14:paraId="160F5CA8">
      <w:pPr>
        <w:spacing w:line="0" w:lineRule="atLeast"/>
        <w:ind w:firstLine="1248" w:firstLineChars="400"/>
        <w:rPr>
          <w:rFonts w:hint="eastAsia" w:ascii="仿宋_GB2312" w:hAnsi="仿宋_GB2312" w:eastAsia="仿宋_GB2312" w:cs="仿宋_GB2312"/>
          <w:spacing w:val="-4"/>
        </w:rPr>
      </w:pPr>
    </w:p>
    <w:p w14:paraId="252468F2">
      <w:pPr>
        <w:spacing w:line="0" w:lineRule="atLeast"/>
        <w:ind w:firstLine="1248" w:firstLineChars="400"/>
        <w:rPr>
          <w:rFonts w:hint="eastAsia" w:ascii="仿宋_GB2312" w:hAnsi="仿宋_GB2312" w:eastAsia="仿宋_GB2312" w:cs="仿宋_GB2312"/>
          <w:spacing w:val="-4"/>
        </w:rPr>
      </w:pPr>
    </w:p>
    <w:p w14:paraId="59427100">
      <w:pPr>
        <w:spacing w:line="0" w:lineRule="atLeast"/>
        <w:ind w:firstLine="1248" w:firstLineChars="400"/>
        <w:rPr>
          <w:rFonts w:hint="eastAsia" w:ascii="仿宋_GB2312" w:hAnsi="仿宋_GB2312" w:eastAsia="仿宋_GB2312" w:cs="仿宋_GB2312"/>
          <w:spacing w:val="-4"/>
        </w:rPr>
      </w:pPr>
    </w:p>
    <w:p w14:paraId="0AC7E314">
      <w:pPr>
        <w:spacing w:line="0" w:lineRule="atLeast"/>
        <w:ind w:firstLine="1248" w:firstLineChars="400"/>
        <w:rPr>
          <w:rFonts w:hint="eastAsia" w:ascii="仿宋_GB2312" w:hAnsi="仿宋_GB2312" w:eastAsia="仿宋_GB2312" w:cs="仿宋_GB2312"/>
          <w:spacing w:val="-4"/>
        </w:rPr>
      </w:pPr>
    </w:p>
    <w:p w14:paraId="358FF193">
      <w:pPr>
        <w:spacing w:line="0" w:lineRule="atLeast"/>
        <w:ind w:firstLine="1248" w:firstLineChars="400"/>
        <w:rPr>
          <w:rFonts w:hint="eastAsia" w:ascii="仿宋_GB2312" w:hAnsi="仿宋_GB2312" w:eastAsia="仿宋_GB2312" w:cs="仿宋_GB2312"/>
          <w:spacing w:val="-4"/>
        </w:rPr>
      </w:pPr>
    </w:p>
    <w:p w14:paraId="1EFA63C8">
      <w:pPr>
        <w:spacing w:line="0" w:lineRule="atLeast"/>
        <w:ind w:firstLine="1248" w:firstLineChars="400"/>
        <w:rPr>
          <w:rFonts w:hint="eastAsia" w:ascii="仿宋_GB2312" w:hAnsi="仿宋_GB2312" w:eastAsia="仿宋_GB2312" w:cs="仿宋_GB2312"/>
          <w:spacing w:val="-4"/>
          <w:lang w:eastAsia="zh-CN"/>
        </w:rPr>
      </w:pPr>
      <w:r>
        <w:rPr>
          <w:rFonts w:hint="eastAsia" w:ascii="仿宋_GB2312" w:hAnsi="仿宋_GB2312" w:eastAsia="仿宋_GB2312" w:cs="仿宋_GB2312"/>
          <w:spacing w:val="-4"/>
        </w:rPr>
        <w:t xml:space="preserve">福建省科学技术厅        </w:t>
      </w:r>
      <w:r>
        <w:rPr>
          <w:rFonts w:hint="eastAsia" w:ascii="仿宋_GB2312" w:hAnsi="仿宋_GB2312" w:eastAsia="仿宋_GB2312" w:cs="仿宋_GB2312"/>
          <w:spacing w:val="-4"/>
          <w:lang w:eastAsia="zh-CN"/>
        </w:rPr>
        <w:t>中共福建省委宣传部</w:t>
      </w:r>
    </w:p>
    <w:p w14:paraId="73CDBCAE">
      <w:pPr>
        <w:spacing w:line="0" w:lineRule="atLeast"/>
        <w:ind w:firstLine="1248" w:firstLineChars="400"/>
        <w:rPr>
          <w:rFonts w:hint="eastAsia" w:ascii="仿宋_GB2312" w:hAnsi="仿宋_GB2312" w:eastAsia="仿宋_GB2312" w:cs="仿宋_GB2312"/>
          <w:spacing w:val="-4"/>
        </w:rPr>
      </w:pPr>
    </w:p>
    <w:p w14:paraId="2A997805">
      <w:pPr>
        <w:spacing w:line="0" w:lineRule="atLeast"/>
        <w:ind w:firstLine="1248" w:firstLineChars="400"/>
        <w:rPr>
          <w:rFonts w:hint="eastAsia" w:ascii="仿宋_GB2312" w:hAnsi="仿宋_GB2312" w:eastAsia="仿宋_GB2312" w:cs="仿宋_GB2312"/>
          <w:spacing w:val="-4"/>
        </w:rPr>
      </w:pPr>
    </w:p>
    <w:p w14:paraId="4FEED597">
      <w:pPr>
        <w:spacing w:line="0" w:lineRule="atLeast"/>
        <w:ind w:firstLine="1248" w:firstLineChars="400"/>
        <w:rPr>
          <w:rFonts w:hint="eastAsia" w:ascii="仿宋_GB2312" w:hAnsi="仿宋_GB2312" w:eastAsia="仿宋_GB2312" w:cs="仿宋_GB2312"/>
          <w:spacing w:val="-4"/>
        </w:rPr>
      </w:pPr>
    </w:p>
    <w:p w14:paraId="5157F68E">
      <w:pPr>
        <w:spacing w:line="0" w:lineRule="atLeast"/>
        <w:ind w:firstLine="1248" w:firstLineChars="400"/>
        <w:rPr>
          <w:rFonts w:hint="eastAsia" w:ascii="仿宋_GB2312" w:hAnsi="仿宋_GB2312" w:eastAsia="仿宋_GB2312" w:cs="仿宋_GB2312"/>
          <w:spacing w:val="-4"/>
        </w:rPr>
      </w:pPr>
    </w:p>
    <w:p w14:paraId="633D32B3">
      <w:pPr>
        <w:spacing w:line="0" w:lineRule="atLeast"/>
        <w:rPr>
          <w:rFonts w:hint="eastAsia" w:ascii="仿宋_GB2312" w:hAnsi="仿宋_GB2312" w:eastAsia="仿宋_GB2312" w:cs="仿宋_GB2312"/>
          <w:spacing w:val="-4"/>
        </w:rPr>
      </w:pPr>
    </w:p>
    <w:p w14:paraId="4D34598E">
      <w:pPr>
        <w:spacing w:line="0" w:lineRule="atLeast"/>
        <w:ind w:firstLine="3432" w:firstLineChars="1100"/>
        <w:rPr>
          <w:rFonts w:hint="eastAsia" w:ascii="仿宋_GB2312" w:hAnsi="仿宋_GB2312" w:eastAsia="仿宋_GB2312" w:cs="仿宋_GB2312"/>
          <w:spacing w:val="-4"/>
        </w:rPr>
      </w:pPr>
      <w:r>
        <w:rPr>
          <w:rFonts w:hint="eastAsia" w:ascii="仿宋_GB2312" w:hAnsi="仿宋_GB2312" w:eastAsia="仿宋_GB2312" w:cs="仿宋_GB2312"/>
          <w:spacing w:val="-4"/>
          <w:lang w:val="en-US" w:eastAsia="zh-CN"/>
        </w:rPr>
        <w:t xml:space="preserve">            </w:t>
      </w:r>
      <w:r>
        <w:rPr>
          <w:rFonts w:hint="eastAsia" w:ascii="仿宋_GB2312" w:hAnsi="仿宋_GB2312" w:eastAsia="仿宋_GB2312" w:cs="仿宋_GB2312"/>
          <w:spacing w:val="-4"/>
        </w:rPr>
        <w:t>福建省广播电视局</w:t>
      </w:r>
    </w:p>
    <w:p w14:paraId="3AB364BC">
      <w:pPr>
        <w:spacing w:line="0" w:lineRule="atLeast"/>
        <w:ind w:firstLine="5440" w:firstLineChars="1700"/>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r>
        <w:rPr>
          <w:rFonts w:hint="eastAsia" w:ascii="仿宋_GB2312" w:hAnsi="仿宋_GB2312" w:eastAsia="仿宋_GB2312" w:cs="仿宋_GB2312"/>
          <w:lang w:val="en-US" w:eastAsia="zh-CN"/>
        </w:rPr>
        <w:t>9</w:t>
      </w:r>
      <w:r>
        <w:rPr>
          <w:rFonts w:hint="eastAsia" w:ascii="仿宋_GB2312" w:hAnsi="仿宋_GB2312" w:eastAsia="仿宋_GB2312" w:cs="仿宋_GB2312"/>
        </w:rPr>
        <w:t>月</w:t>
      </w:r>
      <w:r>
        <w:rPr>
          <w:rFonts w:hint="eastAsia" w:ascii="仿宋_GB2312" w:hAnsi="仿宋_GB2312" w:eastAsia="仿宋_GB2312" w:cs="仿宋_GB2312"/>
          <w:lang w:val="en-US" w:eastAsia="zh-CN"/>
        </w:rPr>
        <w:t>24</w:t>
      </w:r>
      <w:r>
        <w:rPr>
          <w:rFonts w:hint="eastAsia" w:ascii="仿宋_GB2312" w:hAnsi="仿宋_GB2312" w:eastAsia="仿宋_GB2312" w:cs="仿宋_GB2312"/>
        </w:rPr>
        <w:t xml:space="preserve">日 </w:t>
      </w:r>
    </w:p>
    <w:p w14:paraId="704E43BB">
      <w:pPr>
        <w:spacing w:line="0" w:lineRule="atLeast"/>
        <w:ind w:left="1" w:firstLine="640" w:firstLineChars="200"/>
        <w:rPr>
          <w:rFonts w:hint="eastAsia" w:ascii="仿宋_GB2312" w:hAnsi="仿宋_GB2312" w:eastAsia="仿宋_GB2312" w:cs="仿宋_GB2312"/>
        </w:rPr>
      </w:pPr>
      <w:r>
        <w:rPr>
          <w:rFonts w:hint="eastAsia" w:ascii="仿宋_GB2312" w:hAnsi="仿宋_GB2312" w:eastAsia="仿宋_GB2312" w:cs="仿宋_GB2312"/>
        </w:rPr>
        <w:t>（此件主动公开）</w:t>
      </w:r>
    </w:p>
    <w:p w14:paraId="6072B4B4">
      <w:pPr>
        <w:spacing w:line="0" w:lineRule="atLeast"/>
        <w:ind w:firstLine="640" w:firstLineChars="200"/>
        <w:rPr>
          <w:rFonts w:hint="eastAsia" w:ascii="仿宋" w:hAnsi="仿宋"/>
        </w:rPr>
      </w:pPr>
    </w:p>
    <w:p w14:paraId="77ADB2E8">
      <w:pPr>
        <w:spacing w:line="0" w:lineRule="atLeast"/>
        <w:ind w:firstLine="640" w:firstLineChars="200"/>
        <w:rPr>
          <w:rFonts w:hint="eastAsia" w:ascii="仿宋" w:hAnsi="仿宋"/>
        </w:rPr>
      </w:pPr>
    </w:p>
    <w:p w14:paraId="493353CD">
      <w:pPr>
        <w:spacing w:line="0" w:lineRule="atLeast"/>
        <w:ind w:firstLine="640" w:firstLineChars="200"/>
        <w:rPr>
          <w:rFonts w:hint="eastAsia" w:ascii="仿宋" w:hAnsi="仿宋"/>
        </w:rPr>
      </w:pPr>
    </w:p>
    <w:p w14:paraId="6E05610A">
      <w:pPr>
        <w:rPr>
          <w:rFonts w:hint="eastAsia" w:ascii="仿宋" w:hAnsi="仿宋"/>
        </w:rPr>
      </w:pPr>
    </w:p>
    <w:p w14:paraId="23549754">
      <w:pPr>
        <w:rPr>
          <w:rFonts w:hint="eastAsia" w:ascii="仿宋" w:hAnsi="仿宋"/>
        </w:rPr>
      </w:pPr>
    </w:p>
    <w:p w14:paraId="79A6AF16">
      <w:pPr>
        <w:rPr>
          <w:rFonts w:hint="eastAsia" w:ascii="仿宋" w:hAnsi="仿宋"/>
        </w:rPr>
      </w:pPr>
    </w:p>
    <w:p w14:paraId="01F6F8DA">
      <w:pPr>
        <w:rPr>
          <w:rFonts w:hint="eastAsia" w:ascii="仿宋" w:hAnsi="仿宋"/>
        </w:rPr>
      </w:pPr>
    </w:p>
    <w:p w14:paraId="667640CE">
      <w:pPr>
        <w:rPr>
          <w:rFonts w:hint="eastAsia" w:ascii="仿宋" w:hAnsi="仿宋"/>
        </w:rPr>
      </w:pPr>
    </w:p>
    <w:p w14:paraId="629383F9">
      <w:pPr>
        <w:rPr>
          <w:rFonts w:hint="eastAsia" w:ascii="仿宋" w:hAnsi="仿宋"/>
        </w:rPr>
      </w:pPr>
    </w:p>
    <w:p w14:paraId="18DD4C6A">
      <w:pPr>
        <w:rPr>
          <w:rFonts w:hint="eastAsia" w:ascii="仿宋" w:hAnsi="仿宋"/>
        </w:rPr>
      </w:pPr>
    </w:p>
    <w:p w14:paraId="35B77A54">
      <w:pPr>
        <w:spacing w:line="0" w:lineRule="atLeast"/>
        <w:jc w:val="center"/>
        <w:rPr>
          <w:rFonts w:hint="eastAsia" w:ascii="方正小标宋简体" w:hAnsi="仿宋" w:eastAsia="方正小标宋简体"/>
          <w:sz w:val="44"/>
          <w:szCs w:val="44"/>
        </w:rPr>
        <w:sectPr>
          <w:footerReference r:id="rId3" w:type="default"/>
          <w:footerReference r:id="rId4" w:type="even"/>
          <w:pgSz w:w="11906" w:h="16838"/>
          <w:pgMar w:top="2154" w:right="1531" w:bottom="1531" w:left="1531" w:header="851" w:footer="992" w:gutter="0"/>
          <w:pgNumType w:fmt="decimal"/>
          <w:cols w:space="720" w:num="1"/>
          <w:docGrid w:type="lines" w:linePitch="312" w:charSpace="0"/>
        </w:sectPr>
      </w:pPr>
    </w:p>
    <w:p w14:paraId="55ED7B4E">
      <w:pPr>
        <w:spacing w:line="0" w:lineRule="atLeast"/>
        <w:jc w:val="center"/>
        <w:rPr>
          <w:rFonts w:hint="eastAsia" w:ascii="方正小标宋简体" w:hAnsi="仿宋" w:eastAsia="方正小标宋简体"/>
          <w:sz w:val="44"/>
          <w:szCs w:val="44"/>
          <w:lang w:eastAsia="zh-CN"/>
        </w:rPr>
      </w:pPr>
      <w:r>
        <w:rPr>
          <w:rFonts w:hint="eastAsia" w:ascii="方正小标宋简体" w:hAnsi="仿宋" w:eastAsia="方正小标宋简体"/>
          <w:sz w:val="44"/>
          <w:szCs w:val="44"/>
        </w:rPr>
        <w:t>福建省免税进口科普影视作品</w:t>
      </w:r>
      <w:r>
        <w:rPr>
          <w:rFonts w:hint="eastAsia" w:ascii="方正小标宋简体" w:hAnsi="仿宋" w:eastAsia="方正小标宋简体"/>
          <w:sz w:val="44"/>
          <w:szCs w:val="44"/>
          <w:lang w:eastAsia="zh-CN"/>
        </w:rPr>
        <w:t>核定管理办法</w:t>
      </w:r>
    </w:p>
    <w:p w14:paraId="5C5C5C2A">
      <w:pPr>
        <w:spacing w:line="0" w:lineRule="atLeast"/>
        <w:jc w:val="center"/>
        <w:rPr>
          <w:rFonts w:hint="eastAsia" w:ascii="方正小标宋简体" w:hAnsi="仿宋" w:eastAsia="方正小标宋简体"/>
          <w:sz w:val="44"/>
          <w:szCs w:val="44"/>
          <w:lang w:eastAsia="zh-CN"/>
        </w:rPr>
      </w:pPr>
    </w:p>
    <w:p w14:paraId="515790E5">
      <w:pPr>
        <w:ind w:firstLine="716" w:firstLineChars="224"/>
        <w:rPr>
          <w:rFonts w:hint="eastAsia" w:ascii="仿宋_GB2312" w:hAnsi="仿宋_GB2312" w:eastAsia="仿宋_GB2312" w:cs="仿宋_GB2312"/>
        </w:rPr>
      </w:pPr>
      <w:r>
        <w:rPr>
          <w:rFonts w:hint="eastAsia" w:ascii="黑体" w:hAnsi="黑体" w:eastAsia="黑体" w:cs="黑体"/>
        </w:rPr>
        <w:t>第一条</w:t>
      </w:r>
      <w:r>
        <w:rPr>
          <w:rFonts w:hint="eastAsia" w:ascii="仿宋_GB2312" w:hAnsi="仿宋_GB2312" w:eastAsia="仿宋_GB2312" w:cs="仿宋_GB2312"/>
        </w:rPr>
        <w:t xml:space="preserve"> 为落实“十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政策，根据《财政部 海关总署 税务总局关于“十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政策的通知》（财关税〔202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12</w:t>
      </w:r>
      <w:r>
        <w:rPr>
          <w:rFonts w:hint="eastAsia" w:ascii="仿宋_GB2312" w:hAnsi="仿宋_GB2312" w:eastAsia="仿宋_GB2312" w:cs="仿宋_GB2312"/>
        </w:rPr>
        <w:t>号）和《财政部 中央宣传部 科技部 工业和信息化部 海关总署 税务总局 广电总局关于“十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政策管理办法的通知》（财关税〔202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13</w:t>
      </w:r>
      <w:r>
        <w:rPr>
          <w:rFonts w:hint="eastAsia" w:ascii="仿宋_GB2312" w:hAnsi="仿宋_GB2312" w:eastAsia="仿宋_GB2312" w:cs="仿宋_GB2312"/>
        </w:rPr>
        <w:t>号）精神，制定本</w:t>
      </w:r>
      <w:r>
        <w:rPr>
          <w:rFonts w:hint="eastAsia" w:ascii="仿宋_GB2312" w:hAnsi="仿宋_GB2312" w:eastAsia="仿宋_GB2312" w:cs="仿宋_GB2312"/>
          <w:lang w:eastAsia="zh-CN"/>
        </w:rPr>
        <w:t>核定管理办法</w:t>
      </w:r>
      <w:r>
        <w:rPr>
          <w:rFonts w:hint="eastAsia" w:ascii="仿宋_GB2312" w:hAnsi="仿宋_GB2312" w:eastAsia="仿宋_GB2312" w:cs="仿宋_GB2312"/>
        </w:rPr>
        <w:t>。</w:t>
      </w:r>
    </w:p>
    <w:p w14:paraId="213D03D2">
      <w:pPr>
        <w:ind w:firstLine="716" w:firstLineChars="224"/>
        <w:rPr>
          <w:rFonts w:hint="eastAsia" w:ascii="仿宋_GB2312" w:hAnsi="仿宋_GB2312" w:eastAsia="仿宋_GB2312" w:cs="仿宋_GB2312"/>
        </w:rPr>
      </w:pPr>
      <w:r>
        <w:rPr>
          <w:rFonts w:hint="eastAsia" w:ascii="黑体" w:hAnsi="黑体" w:eastAsia="黑体" w:cs="黑体"/>
        </w:rPr>
        <w:t>第二条</w:t>
      </w:r>
      <w:r>
        <w:rPr>
          <w:rFonts w:hint="eastAsia" w:ascii="仿宋_GB2312" w:hAnsi="仿宋_GB2312" w:eastAsia="仿宋_GB2312" w:cs="仿宋_GB2312"/>
        </w:rPr>
        <w:t xml:space="preserve"> 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政策的单位（以下统称</w:t>
      </w:r>
      <w:r>
        <w:rPr>
          <w:rFonts w:hint="eastAsia" w:ascii="仿宋_GB2312" w:hAnsi="仿宋_GB2312" w:eastAsia="仿宋_GB2312" w:cs="仿宋_GB2312"/>
          <w:lang w:eastAsia="zh-CN"/>
        </w:rPr>
        <w:t>享惠主体</w:t>
      </w:r>
      <w:r>
        <w:rPr>
          <w:rFonts w:hint="eastAsia" w:ascii="仿宋_GB2312" w:hAnsi="仿宋_GB2312" w:eastAsia="仿宋_GB2312" w:cs="仿宋_GB2312"/>
        </w:rPr>
        <w:t>），为从境外购买自用科普影视作品播映权而进口的拷贝、工作带、硬盘，以及以其他形式进口自用的承载科普影视作品的拷贝、工作带、硬盘，免征进口关税和进口环节增值税。</w:t>
      </w:r>
    </w:p>
    <w:p w14:paraId="6BB7DCCA">
      <w:pPr>
        <w:ind w:firstLine="716" w:firstLineChars="224"/>
        <w:rPr>
          <w:rFonts w:hint="eastAsia" w:ascii="仿宋_GB2312" w:hAnsi="仿宋_GB2312" w:eastAsia="仿宋_GB2312" w:cs="仿宋_GB2312"/>
        </w:rPr>
      </w:pPr>
      <w:r>
        <w:rPr>
          <w:rFonts w:hint="eastAsia" w:ascii="黑体" w:hAnsi="黑体" w:eastAsia="黑体" w:cs="黑体"/>
        </w:rPr>
        <w:t>第三条</w:t>
      </w:r>
      <w:r>
        <w:rPr>
          <w:rFonts w:hint="eastAsia" w:ascii="仿宋_GB2312" w:hAnsi="仿宋_GB2312" w:eastAsia="仿宋_GB2312" w:cs="仿宋_GB2312"/>
        </w:rPr>
        <w:t xml:space="preserve"> 我省</w:t>
      </w:r>
      <w:r>
        <w:rPr>
          <w:rFonts w:hint="eastAsia" w:ascii="仿宋_GB2312" w:hAnsi="仿宋_GB2312" w:eastAsia="仿宋_GB2312" w:cs="仿宋_GB2312"/>
          <w:lang w:eastAsia="zh-CN"/>
        </w:rPr>
        <w:t>享惠主体</w:t>
      </w:r>
      <w:r>
        <w:rPr>
          <w:rFonts w:hint="eastAsia" w:ascii="仿宋_GB2312" w:hAnsi="仿宋_GB2312" w:eastAsia="仿宋_GB2312" w:cs="仿宋_GB2312"/>
        </w:rPr>
        <w:t>可免税进口的自用科普影视作品拷贝、工作带和硬盘，由省科技厅会同</w:t>
      </w:r>
      <w:r>
        <w:rPr>
          <w:rFonts w:hint="eastAsia" w:ascii="仿宋_GB2312" w:hAnsi="仿宋_GB2312" w:eastAsia="仿宋_GB2312" w:cs="仿宋_GB2312"/>
          <w:lang w:eastAsia="zh-CN"/>
        </w:rPr>
        <w:t>省委宣传部、省</w:t>
      </w:r>
      <w:r>
        <w:rPr>
          <w:rFonts w:hint="eastAsia" w:ascii="仿宋_GB2312" w:hAnsi="仿宋_GB2312" w:eastAsia="仿宋_GB2312" w:cs="仿宋_GB2312"/>
        </w:rPr>
        <w:t>广电局负责核定。</w:t>
      </w:r>
    </w:p>
    <w:p w14:paraId="32EDABD1">
      <w:pPr>
        <w:ind w:firstLine="716" w:firstLineChars="224"/>
        <w:rPr>
          <w:rFonts w:hint="eastAsia" w:ascii="仿宋_GB2312" w:hAnsi="仿宋_GB2312" w:eastAsia="仿宋_GB2312" w:cs="仿宋_GB2312"/>
        </w:rPr>
      </w:pPr>
      <w:r>
        <w:rPr>
          <w:rFonts w:hint="eastAsia" w:ascii="黑体" w:hAnsi="黑体" w:eastAsia="黑体" w:cs="黑体"/>
        </w:rPr>
        <w:t>第四条</w:t>
      </w:r>
      <w:r>
        <w:rPr>
          <w:rFonts w:hint="eastAsia" w:ascii="仿宋_GB2312" w:hAnsi="仿宋_GB2312" w:eastAsia="仿宋_GB2312" w:cs="仿宋_GB2312"/>
        </w:rPr>
        <w:t xml:space="preserve"> 享受进口免税</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政策的自用科普影视作品拷贝、工作带、硬盘，应同时符合以下条件：</w:t>
      </w:r>
    </w:p>
    <w:p w14:paraId="3E05726B">
      <w:pPr>
        <w:ind w:firstLine="716" w:firstLineChars="224"/>
        <w:rPr>
          <w:rFonts w:hint="eastAsia" w:ascii="仿宋_GB2312" w:hAnsi="仿宋_GB2312" w:eastAsia="仿宋_GB2312" w:cs="仿宋_GB2312"/>
        </w:rPr>
      </w:pPr>
      <w:r>
        <w:rPr>
          <w:rFonts w:hint="eastAsia" w:ascii="仿宋_GB2312" w:hAnsi="仿宋_GB2312" w:eastAsia="仿宋_GB2312" w:cs="仿宋_GB2312"/>
        </w:rPr>
        <w:t>（一）属于</w:t>
      </w:r>
      <w:r>
        <w:rPr>
          <w:rFonts w:hint="eastAsia" w:ascii="仿宋_GB2312" w:hAnsi="仿宋_GB2312" w:eastAsia="仿宋_GB2312" w:cs="仿宋_GB2312"/>
          <w:lang w:eastAsia="zh-CN"/>
        </w:rPr>
        <w:t>国家</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"https://www.gov.cn/zhengce/zhengceku/202602/P020260214477017271333.pdf" \o "科普影视作品相关免税进口商品清单（2026年版） .pdf"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科普影视作品相关免税进口商品清单（2026年版）</w:t>
      </w:r>
      <w:r>
        <w:rPr>
          <w:rFonts w:hint="eastAsia" w:ascii="仿宋_GB2312" w:hAnsi="仿宋_GB2312" w:eastAsia="仿宋_GB2312" w:cs="仿宋_GB2312"/>
        </w:rPr>
        <w:fldChar w:fldCharType="end"/>
      </w:r>
      <w:r>
        <w:rPr>
          <w:rFonts w:hint="eastAsia" w:ascii="仿宋_GB2312" w:hAnsi="仿宋_GB2312" w:eastAsia="仿宋_GB2312" w:cs="仿宋_GB2312"/>
        </w:rPr>
        <w:t>所列</w:t>
      </w:r>
      <w:r>
        <w:rPr>
          <w:rFonts w:hint="eastAsia" w:ascii="仿宋_GB2312" w:hAnsi="仿宋_GB2312" w:eastAsia="仿宋_GB2312" w:cs="仿宋_GB2312"/>
          <w:lang w:eastAsia="zh-CN"/>
        </w:rPr>
        <w:t>税则号列</w:t>
      </w:r>
      <w:r>
        <w:rPr>
          <w:rFonts w:hint="eastAsia" w:ascii="仿宋_GB2312" w:hAnsi="仿宋_GB2312" w:eastAsia="仿宋_GB2312" w:cs="仿宋_GB2312"/>
        </w:rPr>
        <w:t>范围；</w:t>
      </w:r>
    </w:p>
    <w:p w14:paraId="657219AF">
      <w:pPr>
        <w:ind w:firstLine="716" w:firstLineChars="224"/>
        <w:rPr>
          <w:rFonts w:hint="eastAsia" w:ascii="仿宋_GB2312" w:hAnsi="仿宋_GB2312" w:eastAsia="仿宋_GB2312" w:cs="仿宋_GB2312"/>
        </w:rPr>
      </w:pPr>
      <w:r>
        <w:rPr>
          <w:rFonts w:hint="eastAsia" w:ascii="仿宋_GB2312" w:hAnsi="仿宋_GB2312" w:eastAsia="仿宋_GB2312" w:cs="仿宋_GB2312"/>
        </w:rPr>
        <w:t>（二）为</w:t>
      </w:r>
      <w:r>
        <w:rPr>
          <w:rFonts w:hint="eastAsia" w:ascii="仿宋_GB2312" w:hAnsi="仿宋_GB2312" w:eastAsia="仿宋_GB2312" w:cs="仿宋_GB2312"/>
          <w:lang w:eastAsia="zh-CN"/>
        </w:rPr>
        <w:t>享惠主体</w:t>
      </w:r>
      <w:r>
        <w:rPr>
          <w:rFonts w:hint="eastAsia" w:ascii="仿宋_GB2312" w:hAnsi="仿宋_GB2312" w:eastAsia="仿宋_GB2312" w:cs="仿宋_GB2312"/>
        </w:rPr>
        <w:t>自用，且用于面向公众的科普活动，不得进行商业销售或挪作他用；</w:t>
      </w:r>
    </w:p>
    <w:p w14:paraId="40DE4F30">
      <w:pPr>
        <w:ind w:firstLine="716" w:firstLineChars="224"/>
        <w:rPr>
          <w:rFonts w:hint="eastAsia" w:ascii="仿宋_GB2312" w:hAnsi="仿宋_GB2312" w:eastAsia="仿宋_GB2312" w:cs="仿宋_GB2312"/>
        </w:rPr>
      </w:pPr>
      <w:r>
        <w:rPr>
          <w:rFonts w:hint="eastAsia" w:ascii="仿宋_GB2312" w:hAnsi="仿宋_GB2312" w:eastAsia="仿宋_GB2312" w:cs="仿宋_GB2312"/>
        </w:rPr>
        <w:t>（三）符合国家关于影视作品和音像制品进口的相关规定。</w:t>
      </w:r>
    </w:p>
    <w:p w14:paraId="7AB60F99">
      <w:pPr>
        <w:ind w:firstLine="716" w:firstLineChars="224"/>
        <w:rPr>
          <w:rFonts w:hint="eastAsia" w:ascii="仿宋_GB2312" w:hAnsi="仿宋_GB2312" w:eastAsia="仿宋_GB2312" w:cs="仿宋_GB2312"/>
        </w:rPr>
      </w:pPr>
      <w:r>
        <w:rPr>
          <w:rFonts w:hint="eastAsia" w:ascii="黑体" w:hAnsi="黑体" w:eastAsia="黑体" w:cs="黑体"/>
        </w:rPr>
        <w:t>第五条</w:t>
      </w:r>
      <w:r>
        <w:rPr>
          <w:rFonts w:hint="eastAsia" w:ascii="仿宋_GB2312" w:hAnsi="仿宋_GB2312" w:eastAsia="仿宋_GB2312" w:cs="仿宋_GB2312"/>
        </w:rPr>
        <w:t xml:space="preserve"> </w:t>
      </w:r>
      <w:r>
        <w:rPr>
          <w:rFonts w:hint="eastAsia" w:ascii="仿宋_GB2312" w:hAnsi="仿宋_GB2312" w:eastAsia="仿宋_GB2312" w:cs="仿宋_GB2312"/>
          <w:lang w:eastAsia="zh-CN"/>
        </w:rPr>
        <w:t>享惠主体</w:t>
      </w:r>
      <w:r>
        <w:rPr>
          <w:rFonts w:hint="eastAsia" w:ascii="仿宋_GB2312" w:hAnsi="仿宋_GB2312" w:eastAsia="仿宋_GB2312" w:cs="仿宋_GB2312"/>
        </w:rPr>
        <w:t>进口自用科普影视作品拷贝、工作带、硬盘，应填写《进口科普影视作品拷贝、工作带、硬盘免税申请表》（附件1），</w:t>
      </w:r>
      <w:r>
        <w:rPr>
          <w:rFonts w:hint="eastAsia" w:ascii="仿宋_GB2312" w:hAnsi="仿宋_GB2312" w:eastAsia="仿宋_GB2312" w:cs="仿宋_GB2312"/>
          <w:lang w:eastAsia="zh-CN"/>
        </w:rPr>
        <w:t>并</w:t>
      </w:r>
      <w:r>
        <w:rPr>
          <w:rFonts w:hint="eastAsia" w:ascii="仿宋_GB2312" w:hAnsi="仿宋_GB2312" w:eastAsia="仿宋_GB2312" w:cs="仿宋_GB2312"/>
        </w:rPr>
        <w:t>于每年</w:t>
      </w:r>
      <w:r>
        <w:rPr>
          <w:rFonts w:hint="eastAsia" w:ascii="仿宋_GB2312" w:hAnsi="仿宋_GB2312" w:eastAsia="仿宋_GB2312" w:cs="仿宋_GB2312"/>
          <w:highlight w:val="none"/>
          <w:lang w:val="en-US" w:eastAsia="zh-CN"/>
        </w:rPr>
        <w:t>11</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lang w:val="en-US" w:eastAsia="zh-CN"/>
        </w:rPr>
        <w:t>30</w:t>
      </w:r>
      <w:r>
        <w:rPr>
          <w:rFonts w:hint="eastAsia" w:ascii="仿宋_GB2312" w:hAnsi="仿宋_GB2312" w:eastAsia="仿宋_GB2312" w:cs="仿宋_GB2312"/>
          <w:highlight w:val="none"/>
        </w:rPr>
        <w:t>日</w:t>
      </w:r>
      <w:r>
        <w:rPr>
          <w:rFonts w:hint="eastAsia" w:ascii="仿宋_GB2312" w:hAnsi="仿宋_GB2312" w:eastAsia="仿宋_GB2312" w:cs="仿宋_GB2312"/>
        </w:rPr>
        <w:t>前向省科技厅提出下一年度</w:t>
      </w:r>
      <w:r>
        <w:rPr>
          <w:rFonts w:hint="eastAsia" w:ascii="仿宋_GB2312" w:hAnsi="仿宋_GB2312" w:eastAsia="仿宋_GB2312" w:cs="仿宋_GB2312"/>
          <w:lang w:eastAsia="zh-CN"/>
        </w:rPr>
        <w:t>需</w:t>
      </w:r>
      <w:r>
        <w:rPr>
          <w:rFonts w:hint="eastAsia" w:ascii="仿宋_GB2312" w:hAnsi="仿宋_GB2312" w:eastAsia="仿宋_GB2312" w:cs="仿宋_GB2312"/>
        </w:rPr>
        <w:t>进口的自用科普影视作品拷贝、工作带、硬盘免税书面申请。</w:t>
      </w:r>
    </w:p>
    <w:p w14:paraId="0ED6F0B8">
      <w:pPr>
        <w:ind w:firstLine="716" w:firstLineChars="224"/>
        <w:rPr>
          <w:rFonts w:hint="eastAsia" w:ascii="仿宋_GB2312" w:hAnsi="仿宋_GB2312" w:eastAsia="仿宋_GB2312" w:cs="仿宋_GB2312"/>
        </w:rPr>
      </w:pPr>
      <w:r>
        <w:rPr>
          <w:rFonts w:hint="eastAsia" w:ascii="仿宋_GB2312" w:hAnsi="仿宋_GB2312" w:eastAsia="仿宋_GB2312" w:cs="仿宋_GB2312"/>
        </w:rPr>
        <w:t>免税进口的自用科普影视作品拷贝、工作带和硬盘核定工作，原则上每年组织1次。</w:t>
      </w:r>
    </w:p>
    <w:p w14:paraId="3D86328E">
      <w:pPr>
        <w:ind w:firstLine="716" w:firstLineChars="224"/>
        <w:rPr>
          <w:rFonts w:hint="eastAsia" w:ascii="仿宋_GB2312" w:hAnsi="仿宋_GB2312" w:eastAsia="仿宋_GB2312" w:cs="仿宋_GB2312"/>
        </w:rPr>
      </w:pPr>
      <w:r>
        <w:rPr>
          <w:rFonts w:hint="eastAsia" w:ascii="黑体" w:hAnsi="黑体" w:eastAsia="黑体" w:cs="黑体"/>
        </w:rPr>
        <w:t>第六条</w:t>
      </w:r>
      <w:r>
        <w:rPr>
          <w:rFonts w:hint="eastAsia" w:ascii="仿宋_GB2312" w:hAnsi="仿宋_GB2312" w:eastAsia="仿宋_GB2312" w:cs="仿宋_GB2312"/>
        </w:rPr>
        <w:t xml:space="preserve"> 省科技厅会同</w:t>
      </w:r>
      <w:r>
        <w:rPr>
          <w:rFonts w:hint="eastAsia" w:ascii="仿宋_GB2312" w:hAnsi="仿宋_GB2312" w:eastAsia="仿宋_GB2312" w:cs="仿宋_GB2312"/>
          <w:lang w:eastAsia="zh-CN"/>
        </w:rPr>
        <w:t>省委宣传部、省</w:t>
      </w:r>
      <w:r>
        <w:rPr>
          <w:rFonts w:hint="eastAsia" w:ascii="仿宋_GB2312" w:hAnsi="仿宋_GB2312" w:eastAsia="仿宋_GB2312" w:cs="仿宋_GB2312"/>
        </w:rPr>
        <w:t>广电局对</w:t>
      </w:r>
      <w:r>
        <w:rPr>
          <w:rFonts w:hint="eastAsia" w:ascii="仿宋_GB2312" w:hAnsi="仿宋_GB2312" w:eastAsia="仿宋_GB2312" w:cs="仿宋_GB2312"/>
          <w:lang w:eastAsia="zh-CN"/>
        </w:rPr>
        <w:t>享惠主体提出</w:t>
      </w:r>
      <w:r>
        <w:rPr>
          <w:rFonts w:hint="eastAsia" w:ascii="仿宋_GB2312" w:hAnsi="仿宋_GB2312" w:eastAsia="仿宋_GB2312" w:cs="仿宋_GB2312"/>
        </w:rPr>
        <w:t>的科普影视作品拷贝、工作带、硬盘免税申请进行核定，核定结果于当年度</w:t>
      </w:r>
      <w:r>
        <w:rPr>
          <w:rFonts w:hint="eastAsia" w:ascii="仿宋_GB2312" w:hAnsi="仿宋_GB2312" w:eastAsia="仿宋_GB2312" w:cs="仿宋_GB2312"/>
          <w:lang w:val="en-US" w:eastAsia="zh-CN"/>
        </w:rPr>
        <w:t>12</w:t>
      </w:r>
      <w:r>
        <w:rPr>
          <w:rFonts w:hint="eastAsia" w:ascii="仿宋_GB2312" w:hAnsi="仿宋_GB2312" w:eastAsia="仿宋_GB2312" w:cs="仿宋_GB2312"/>
        </w:rPr>
        <w:t>月</w:t>
      </w:r>
      <w:r>
        <w:rPr>
          <w:rFonts w:hint="eastAsia" w:ascii="仿宋_GB2312" w:hAnsi="仿宋_GB2312" w:eastAsia="仿宋_GB2312" w:cs="仿宋_GB2312"/>
          <w:lang w:val="en-US" w:eastAsia="zh-CN"/>
        </w:rPr>
        <w:t>31</w:t>
      </w:r>
      <w:r>
        <w:rPr>
          <w:rFonts w:hint="eastAsia" w:ascii="仿宋_GB2312" w:hAnsi="仿宋_GB2312" w:eastAsia="仿宋_GB2312" w:cs="仿宋_GB2312"/>
        </w:rPr>
        <w:t>日前函告福州海关和厦门海关，抄送</w:t>
      </w:r>
      <w:r>
        <w:rPr>
          <w:rFonts w:hint="eastAsia" w:ascii="仿宋_GB2312" w:hAnsi="仿宋_GB2312" w:eastAsia="仿宋_GB2312" w:cs="仿宋_GB2312"/>
          <w:lang w:eastAsia="zh-CN"/>
        </w:rPr>
        <w:t>省委宣传部、省</w:t>
      </w:r>
      <w:r>
        <w:rPr>
          <w:rFonts w:hint="eastAsia" w:ascii="仿宋_GB2312" w:hAnsi="仿宋_GB2312" w:eastAsia="仿宋_GB2312" w:cs="仿宋_GB2312"/>
        </w:rPr>
        <w:t>广电局，并通知相关</w:t>
      </w:r>
      <w:r>
        <w:rPr>
          <w:rFonts w:hint="eastAsia" w:ascii="仿宋_GB2312" w:hAnsi="仿宋_GB2312" w:eastAsia="仿宋_GB2312" w:cs="仿宋_GB2312"/>
          <w:lang w:eastAsia="zh-CN"/>
        </w:rPr>
        <w:t>享惠主体</w:t>
      </w:r>
      <w:r>
        <w:rPr>
          <w:rFonts w:hint="eastAsia" w:ascii="仿宋_GB2312" w:hAnsi="仿宋_GB2312" w:eastAsia="仿宋_GB2312" w:cs="仿宋_GB2312"/>
        </w:rPr>
        <w:t>。</w:t>
      </w:r>
    </w:p>
    <w:p w14:paraId="76839E29">
      <w:pPr>
        <w:ind w:firstLine="716" w:firstLineChars="224"/>
        <w:rPr>
          <w:rFonts w:hint="eastAsia" w:ascii="仿宋_GB2312" w:hAnsi="仿宋_GB2312" w:eastAsia="仿宋_GB2312" w:cs="仿宋_GB2312"/>
          <w:lang w:eastAsia="zh-CN"/>
        </w:rPr>
      </w:pPr>
      <w:r>
        <w:rPr>
          <w:rFonts w:hint="eastAsia" w:ascii="黑体" w:hAnsi="黑体" w:eastAsia="黑体" w:cs="黑体"/>
        </w:rPr>
        <w:t>第七条</w:t>
      </w:r>
      <w:r>
        <w:rPr>
          <w:rFonts w:hint="eastAsia" w:ascii="仿宋_GB2312" w:hAnsi="仿宋_GB2312" w:eastAsia="仿宋_GB2312" w:cs="仿宋_GB2312"/>
        </w:rPr>
        <w:t xml:space="preserve"> 省科技厅函告福州海关和厦门海关的科普影视作品免税进口</w:t>
      </w:r>
      <w:r>
        <w:rPr>
          <w:rFonts w:hint="eastAsia" w:ascii="仿宋_GB2312" w:hAnsi="仿宋_GB2312" w:eastAsia="仿宋_GB2312" w:cs="仿宋_GB2312"/>
          <w:lang w:eastAsia="zh-CN"/>
        </w:rPr>
        <w:t>商品</w:t>
      </w:r>
      <w:r>
        <w:rPr>
          <w:rFonts w:hint="eastAsia" w:ascii="仿宋_GB2312" w:hAnsi="仿宋_GB2312" w:eastAsia="仿宋_GB2312" w:cs="仿宋_GB2312"/>
        </w:rPr>
        <w:t>清单应注明批次。其中第一批清单自202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年1月1日</w:t>
      </w:r>
      <w:r>
        <w:rPr>
          <w:rFonts w:hint="eastAsia" w:ascii="仿宋_GB2312" w:hAnsi="仿宋_GB2312" w:eastAsia="仿宋_GB2312" w:cs="仿宋_GB2312"/>
          <w:lang w:eastAsia="zh-CN"/>
        </w:rPr>
        <w:t>起</w:t>
      </w:r>
      <w:r>
        <w:rPr>
          <w:rFonts w:hint="eastAsia" w:ascii="仿宋_GB2312" w:hAnsi="仿宋_GB2312" w:eastAsia="仿宋_GB2312" w:cs="仿宋_GB2312"/>
        </w:rPr>
        <w:t>实施；以后批次的清单自印发之日后第20日起实施。第一批</w:t>
      </w:r>
      <w:r>
        <w:rPr>
          <w:rFonts w:hint="eastAsia" w:ascii="仿宋_GB2312" w:hAnsi="仿宋_GB2312" w:eastAsia="仿宋_GB2312" w:cs="仿宋_GB2312"/>
          <w:lang w:eastAsia="zh-CN"/>
        </w:rPr>
        <w:t>享惠主体</w:t>
      </w:r>
      <w:r>
        <w:rPr>
          <w:rFonts w:hint="eastAsia" w:ascii="仿宋_GB2312" w:hAnsi="仿宋_GB2312" w:eastAsia="仿宋_GB2312" w:cs="仿宋_GB2312"/>
        </w:rPr>
        <w:t>名单印发之日后30日内已征的应免税款，</w:t>
      </w:r>
      <w:r>
        <w:rPr>
          <w:rFonts w:hint="eastAsia" w:ascii="仿宋_GB2312" w:hAnsi="仿宋_GB2312" w:eastAsia="仿宋_GB2312" w:cs="仿宋_GB2312"/>
          <w:lang w:eastAsia="zh-CN"/>
        </w:rPr>
        <w:t>予以</w:t>
      </w:r>
      <w:r>
        <w:rPr>
          <w:rFonts w:hint="eastAsia" w:ascii="仿宋_GB2312" w:hAnsi="仿宋_GB2312" w:eastAsia="仿宋_GB2312" w:cs="仿宋_GB2312"/>
        </w:rPr>
        <w:t>退还</w:t>
      </w:r>
      <w:r>
        <w:rPr>
          <w:rFonts w:hint="eastAsia" w:ascii="仿宋_GB2312" w:hAnsi="仿宋_GB2312" w:eastAsia="仿宋_GB2312" w:cs="仿宋_GB2312"/>
          <w:lang w:eastAsia="zh-CN"/>
        </w:rPr>
        <w:t>。</w:t>
      </w:r>
    </w:p>
    <w:p w14:paraId="3A15A617">
      <w:pPr>
        <w:ind w:firstLine="716" w:firstLineChars="224"/>
        <w:rPr>
          <w:rFonts w:hint="eastAsia" w:ascii="仿宋_GB2312" w:hAnsi="仿宋_GB2312" w:eastAsia="仿宋_GB2312" w:cs="仿宋_GB2312"/>
        </w:rPr>
      </w:pPr>
      <w:r>
        <w:rPr>
          <w:rFonts w:hint="eastAsia" w:ascii="仿宋_GB2312" w:hAnsi="仿宋_GB2312" w:eastAsia="仿宋_GB2312" w:cs="仿宋_GB2312"/>
        </w:rPr>
        <w:t>前款规定的已征应免税款，依</w:t>
      </w:r>
      <w:r>
        <w:rPr>
          <w:rFonts w:hint="eastAsia" w:ascii="仿宋_GB2312" w:hAnsi="仿宋_GB2312" w:eastAsia="仿宋_GB2312" w:cs="仿宋_GB2312"/>
          <w:lang w:eastAsia="zh-CN"/>
        </w:rPr>
        <w:t>享惠主体</w:t>
      </w:r>
      <w:r>
        <w:rPr>
          <w:rFonts w:hint="eastAsia" w:ascii="仿宋_GB2312" w:hAnsi="仿宋_GB2312" w:eastAsia="仿宋_GB2312" w:cs="仿宋_GB2312"/>
        </w:rPr>
        <w:t>申请</w:t>
      </w:r>
      <w:r>
        <w:rPr>
          <w:rFonts w:hint="eastAsia" w:ascii="仿宋_GB2312" w:hAnsi="仿宋_GB2312" w:eastAsia="仿宋_GB2312" w:cs="仿宋_GB2312"/>
          <w:lang w:eastAsia="zh-CN"/>
        </w:rPr>
        <w:t>予以</w:t>
      </w:r>
      <w:r>
        <w:rPr>
          <w:rFonts w:hint="eastAsia" w:ascii="仿宋_GB2312" w:hAnsi="仿宋_GB2312" w:eastAsia="仿宋_GB2312" w:cs="仿宋_GB2312"/>
        </w:rPr>
        <w:t>退还</w:t>
      </w:r>
      <w:r>
        <w:rPr>
          <w:rFonts w:hint="eastAsia" w:ascii="仿宋_GB2312" w:hAnsi="仿宋_GB2312" w:eastAsia="仿宋_GB2312" w:cs="仿宋_GB2312"/>
          <w:lang w:eastAsia="zh-CN"/>
        </w:rPr>
        <w:t>，同时按照法律规定退还银行同期活期存款利息</w:t>
      </w:r>
      <w:r>
        <w:rPr>
          <w:rFonts w:hint="eastAsia" w:ascii="仿宋_GB2312" w:hAnsi="仿宋_GB2312" w:eastAsia="仿宋_GB2312" w:cs="仿宋_GB2312"/>
        </w:rPr>
        <w:t>。其中，已征税进口且尚未申报增值税进项税额抵扣的，应事先取得主管税务机关出具的《“十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政策项下进口商品已征进口环节增值税未抵扣情况表》（附件2），向海关申请办理退还已征进口关税和进口环节增值税手续；已申报增值税进项税额抵扣的，仅向海关申请办理退还已征进口关税手续。</w:t>
      </w:r>
    </w:p>
    <w:p w14:paraId="618FB047">
      <w:pPr>
        <w:ind w:firstLine="716" w:firstLineChars="224"/>
        <w:rPr>
          <w:rFonts w:hint="eastAsia" w:ascii="仿宋_GB2312" w:hAnsi="仿宋_GB2312" w:eastAsia="仿宋_GB2312" w:cs="仿宋_GB2312"/>
        </w:rPr>
      </w:pPr>
      <w:r>
        <w:rPr>
          <w:rFonts w:hint="eastAsia" w:ascii="黑体" w:hAnsi="黑体" w:eastAsia="黑体" w:cs="黑体"/>
        </w:rPr>
        <w:t xml:space="preserve">第八条 </w:t>
      </w:r>
      <w:r>
        <w:rPr>
          <w:rFonts w:hint="eastAsia" w:ascii="仿宋_GB2312" w:hAnsi="仿宋_GB2312" w:eastAsia="仿宋_GB2312" w:cs="仿宋_GB2312"/>
          <w:lang w:eastAsia="zh-CN"/>
        </w:rPr>
        <w:t>享惠主体</w:t>
      </w:r>
      <w:r>
        <w:rPr>
          <w:rFonts w:hint="eastAsia" w:ascii="仿宋_GB2312" w:hAnsi="仿宋_GB2312" w:eastAsia="仿宋_GB2312" w:cs="仿宋_GB2312"/>
        </w:rPr>
        <w:t>应按照海关有关规定，办理有关进口用品的免税手续</w:t>
      </w:r>
      <w:r>
        <w:rPr>
          <w:rFonts w:hint="eastAsia" w:ascii="仿宋_GB2312" w:hAnsi="仿宋_GB2312" w:eastAsia="仿宋_GB2312" w:cs="仿宋_GB2312"/>
          <w:lang w:eastAsia="zh-CN"/>
        </w:rPr>
        <w:t>，免税进口商品需由海关按减免税货物监管其使用</w:t>
      </w:r>
      <w:r>
        <w:rPr>
          <w:rFonts w:hint="eastAsia" w:ascii="仿宋_GB2312" w:hAnsi="仿宋_GB2312" w:eastAsia="仿宋_GB2312" w:cs="仿宋_GB2312"/>
        </w:rPr>
        <w:t>。</w:t>
      </w:r>
    </w:p>
    <w:p w14:paraId="48BD42AB">
      <w:pPr>
        <w:ind w:firstLine="716" w:firstLineChars="224"/>
        <w:rPr>
          <w:rFonts w:hint="eastAsia" w:ascii="仿宋_GB2312" w:hAnsi="仿宋_GB2312" w:eastAsia="仿宋_GB2312" w:cs="仿宋_GB2312"/>
        </w:rPr>
      </w:pPr>
      <w:r>
        <w:rPr>
          <w:rFonts w:hint="eastAsia" w:ascii="黑体" w:hAnsi="黑体" w:eastAsia="黑体" w:cs="黑体"/>
        </w:rPr>
        <w:t>第九条</w:t>
      </w:r>
      <w:r>
        <w:rPr>
          <w:rFonts w:hint="eastAsia" w:ascii="仿宋_GB2312" w:hAnsi="仿宋_GB2312" w:eastAsia="仿宋_GB2312" w:cs="仿宋_GB2312"/>
        </w:rPr>
        <w:t xml:space="preserve"> 有关部门及其工作人员在政策执行过程中，存在违反执行免税政策规定的行为，以及滥用职权、玩忽职守、徇私舞弊等违法违纪行为的，依照国家有关规定追究相应责任；涉嫌犯罪的，依法追究刑事责任。</w:t>
      </w:r>
    </w:p>
    <w:p w14:paraId="22BC957F">
      <w:pPr>
        <w:ind w:firstLine="716" w:firstLineChars="224"/>
        <w:rPr>
          <w:rFonts w:hint="eastAsia" w:ascii="仿宋_GB2312" w:hAnsi="仿宋_GB2312" w:eastAsia="仿宋_GB2312" w:cs="仿宋_GB2312"/>
        </w:rPr>
      </w:pPr>
      <w:r>
        <w:rPr>
          <w:rFonts w:hint="eastAsia" w:ascii="黑体" w:hAnsi="黑体" w:eastAsia="黑体" w:cs="黑体"/>
        </w:rPr>
        <w:t>第十条</w:t>
      </w:r>
      <w:r>
        <w:rPr>
          <w:rFonts w:hint="eastAsia" w:ascii="仿宋_GB2312" w:hAnsi="仿宋_GB2312" w:eastAsia="仿宋_GB2312" w:cs="仿宋_GB2312"/>
        </w:rPr>
        <w:t xml:space="preserve"> 本细则有效期为202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年1月1日至20</w:t>
      </w:r>
      <w:r>
        <w:rPr>
          <w:rFonts w:hint="eastAsia" w:ascii="仿宋_GB2312" w:hAnsi="仿宋_GB2312" w:eastAsia="仿宋_GB2312" w:cs="仿宋_GB2312"/>
          <w:lang w:val="en-US" w:eastAsia="zh-CN"/>
        </w:rPr>
        <w:t>30</w:t>
      </w:r>
      <w:r>
        <w:rPr>
          <w:rFonts w:hint="eastAsia" w:ascii="仿宋_GB2312" w:hAnsi="仿宋_GB2312" w:eastAsia="仿宋_GB2312" w:cs="仿宋_GB2312"/>
        </w:rPr>
        <w:t>年12月31日。</w:t>
      </w:r>
    </w:p>
    <w:p w14:paraId="289D7F36">
      <w:pPr>
        <w:ind w:firstLine="640" w:firstLineChars="200"/>
        <w:rPr>
          <w:rFonts w:hint="eastAsia" w:ascii="仿宋" w:hAnsi="仿宋"/>
        </w:rPr>
      </w:pPr>
    </w:p>
    <w:p w14:paraId="2A1E66E1">
      <w:pPr>
        <w:ind w:left="2253" w:leftChars="304" w:hanging="1280" w:hangingChars="400"/>
        <w:rPr>
          <w:rFonts w:hint="eastAsia" w:ascii="仿宋_GB2312" w:hAnsi="仿宋_GB2312" w:eastAsia="仿宋_GB2312" w:cs="仿宋_GB2312"/>
          <w:spacing w:val="-11"/>
        </w:rPr>
      </w:pPr>
      <w:r>
        <w:rPr>
          <w:rFonts w:hint="eastAsia" w:ascii="仿宋_GB2312" w:hAnsi="仿宋_GB2312" w:eastAsia="仿宋_GB2312" w:cs="仿宋_GB2312"/>
        </w:rPr>
        <w:t>附件：1.</w:t>
      </w:r>
      <w:r>
        <w:rPr>
          <w:rFonts w:hint="eastAsia" w:ascii="仿宋_GB2312" w:hAnsi="仿宋_GB2312" w:eastAsia="仿宋_GB2312" w:cs="仿宋_GB2312"/>
          <w:spacing w:val="-11"/>
        </w:rPr>
        <w:t>进口科普影视作品拷贝、工作带、硬盘免税申请表</w:t>
      </w:r>
    </w:p>
    <w:p w14:paraId="019930BD">
      <w:pPr>
        <w:ind w:left="2253" w:leftChars="304" w:hanging="1280" w:hangingChars="400"/>
        <w:rPr>
          <w:rFonts w:hint="eastAsia" w:ascii="仿宋_GB2312" w:hAnsi="仿宋_GB2312" w:eastAsia="仿宋_GB2312" w:cs="仿宋_GB2312"/>
        </w:rPr>
      </w:pPr>
      <w:r>
        <w:rPr>
          <w:rFonts w:hint="eastAsia" w:ascii="仿宋_GB2312" w:hAnsi="仿宋_GB2312" w:eastAsia="仿宋_GB2312" w:cs="仿宋_GB2312"/>
        </w:rPr>
        <w:t xml:space="preserve">      2.“十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五”期间支持科普事业发展进口税收政策项下进口商品已征进口环节增值税未抵扣情况表</w:t>
      </w:r>
    </w:p>
    <w:p w14:paraId="0D1CACBA">
      <w:pPr>
        <w:rPr>
          <w:rFonts w:hint="eastAsia" w:ascii="黑体" w:hAnsi="黑体" w:eastAsia="黑体" w:cs="黑体"/>
        </w:rPr>
      </w:pPr>
    </w:p>
    <w:p w14:paraId="653868BE">
      <w:pPr>
        <w:rPr>
          <w:rFonts w:hint="eastAsia" w:ascii="黑体" w:hAnsi="黑体" w:eastAsia="黑体" w:cs="黑体"/>
        </w:rPr>
      </w:pPr>
      <w:r>
        <w:rPr>
          <w:rFonts w:hint="eastAsia" w:ascii="黑体" w:hAnsi="黑体" w:eastAsia="黑体" w:cs="黑体"/>
        </w:rPr>
        <w:br w:type="page"/>
      </w:r>
    </w:p>
    <w:p w14:paraId="71F5E53D">
      <w:pPr>
        <w:rPr>
          <w:rFonts w:hint="eastAsia" w:ascii="黑体" w:hAnsi="黑体" w:eastAsia="黑体" w:cs="黑体"/>
        </w:rPr>
      </w:pPr>
      <w:r>
        <w:rPr>
          <w:rFonts w:hint="eastAsia" w:ascii="黑体" w:hAnsi="黑体" w:eastAsia="黑体" w:cs="黑体"/>
        </w:rPr>
        <w:t>附件1</w:t>
      </w:r>
    </w:p>
    <w:p w14:paraId="102689FA">
      <w:pPr>
        <w:spacing w:line="560" w:lineRule="exact"/>
        <w:ind w:left="2205" w:leftChars="139" w:hanging="1760" w:hangingChars="40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进口科普影视作品拷贝、工作带、硬盘</w:t>
      </w:r>
    </w:p>
    <w:p w14:paraId="7AB09ECB">
      <w:pPr>
        <w:keepNext w:val="0"/>
        <w:keepLines w:val="0"/>
        <w:pageBreakBefore w:val="0"/>
        <w:widowControl w:val="0"/>
        <w:kinsoku/>
        <w:wordWrap/>
        <w:overflowPunct/>
        <w:topLinePunct w:val="0"/>
        <w:autoSpaceDE/>
        <w:autoSpaceDN/>
        <w:bidi w:val="0"/>
        <w:adjustRightInd/>
        <w:snapToGrid/>
        <w:spacing w:after="157" w:afterLines="50" w:line="560" w:lineRule="exact"/>
        <w:ind w:right="0" w:rightChars="0" w:firstLine="3080" w:firstLineChars="700"/>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免税申请表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1485"/>
        <w:gridCol w:w="353"/>
        <w:gridCol w:w="1012"/>
        <w:gridCol w:w="968"/>
        <w:gridCol w:w="7"/>
        <w:gridCol w:w="2508"/>
      </w:tblGrid>
      <w:tr w14:paraId="568F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exact"/>
          <w:jc w:val="center"/>
        </w:trPr>
        <w:tc>
          <w:tcPr>
            <w:tcW w:w="3867" w:type="dxa"/>
            <w:gridSpan w:val="2"/>
            <w:noWrap w:val="0"/>
            <w:vAlign w:val="center"/>
          </w:tcPr>
          <w:p w14:paraId="176FA59F">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申请单位名称</w:t>
            </w:r>
          </w:p>
        </w:tc>
        <w:tc>
          <w:tcPr>
            <w:tcW w:w="4848" w:type="dxa"/>
            <w:gridSpan w:val="5"/>
            <w:noWrap w:val="0"/>
            <w:vAlign w:val="top"/>
          </w:tcPr>
          <w:p w14:paraId="16DFAD09">
            <w:pPr>
              <w:widowControl/>
              <w:spacing w:line="0" w:lineRule="atLeast"/>
              <w:jc w:val="left"/>
              <w:rPr>
                <w:rFonts w:hint="eastAsia" w:ascii="仿宋_GB2312" w:hAnsi="仿宋_GB2312" w:eastAsia="仿宋_GB2312" w:cs="仿宋_GB2312"/>
                <w:kern w:val="0"/>
                <w:sz w:val="28"/>
                <w:szCs w:val="28"/>
              </w:rPr>
            </w:pPr>
          </w:p>
        </w:tc>
      </w:tr>
      <w:tr w14:paraId="223F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jc w:val="center"/>
        </w:trPr>
        <w:tc>
          <w:tcPr>
            <w:tcW w:w="3867" w:type="dxa"/>
            <w:gridSpan w:val="2"/>
            <w:noWrap w:val="0"/>
            <w:vAlign w:val="center"/>
          </w:tcPr>
          <w:p w14:paraId="085E3020">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单位统一社会信用代码</w:t>
            </w:r>
          </w:p>
        </w:tc>
        <w:tc>
          <w:tcPr>
            <w:tcW w:w="4848" w:type="dxa"/>
            <w:gridSpan w:val="5"/>
            <w:noWrap w:val="0"/>
            <w:vAlign w:val="top"/>
          </w:tcPr>
          <w:p w14:paraId="019F0E45">
            <w:pPr>
              <w:widowControl/>
              <w:spacing w:line="0" w:lineRule="atLeast"/>
              <w:jc w:val="left"/>
              <w:rPr>
                <w:rFonts w:hint="eastAsia" w:ascii="仿宋_GB2312" w:hAnsi="仿宋_GB2312" w:eastAsia="仿宋_GB2312" w:cs="仿宋_GB2312"/>
                <w:kern w:val="0"/>
                <w:sz w:val="28"/>
                <w:szCs w:val="28"/>
              </w:rPr>
            </w:pPr>
          </w:p>
        </w:tc>
      </w:tr>
      <w:tr w14:paraId="2A47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2382" w:type="dxa"/>
            <w:noWrap w:val="0"/>
            <w:vAlign w:val="center"/>
          </w:tcPr>
          <w:p w14:paraId="1746D814">
            <w:pPr>
              <w:widowControl/>
              <w:spacing w:line="0" w:lineRule="atLeast"/>
              <w:ind w:firstLine="280" w:firstLineChars="10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地 址</w:t>
            </w:r>
          </w:p>
        </w:tc>
        <w:tc>
          <w:tcPr>
            <w:tcW w:w="6333" w:type="dxa"/>
            <w:gridSpan w:val="6"/>
            <w:noWrap w:val="0"/>
            <w:vAlign w:val="center"/>
          </w:tcPr>
          <w:p w14:paraId="4736CEBD">
            <w:pPr>
              <w:widowControl/>
              <w:spacing w:line="0" w:lineRule="atLeast"/>
              <w:jc w:val="center"/>
              <w:rPr>
                <w:rFonts w:hint="eastAsia" w:ascii="仿宋_GB2312" w:hAnsi="仿宋_GB2312" w:eastAsia="仿宋_GB2312" w:cs="仿宋_GB2312"/>
                <w:sz w:val="28"/>
                <w:szCs w:val="28"/>
              </w:rPr>
            </w:pPr>
          </w:p>
        </w:tc>
      </w:tr>
      <w:tr w14:paraId="4898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2382" w:type="dxa"/>
            <w:noWrap w:val="0"/>
            <w:vAlign w:val="center"/>
          </w:tcPr>
          <w:p w14:paraId="502B48CF">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联系人</w:t>
            </w:r>
          </w:p>
        </w:tc>
        <w:tc>
          <w:tcPr>
            <w:tcW w:w="1838" w:type="dxa"/>
            <w:gridSpan w:val="2"/>
            <w:noWrap w:val="0"/>
            <w:vAlign w:val="center"/>
          </w:tcPr>
          <w:p w14:paraId="6686D6C7">
            <w:pPr>
              <w:widowControl/>
              <w:spacing w:line="0" w:lineRule="atLeast"/>
              <w:jc w:val="center"/>
              <w:rPr>
                <w:rFonts w:hint="eastAsia" w:ascii="仿宋_GB2312" w:hAnsi="仿宋_GB2312" w:eastAsia="仿宋_GB2312" w:cs="仿宋_GB2312"/>
                <w:kern w:val="0"/>
                <w:sz w:val="28"/>
                <w:szCs w:val="28"/>
              </w:rPr>
            </w:pPr>
          </w:p>
        </w:tc>
        <w:tc>
          <w:tcPr>
            <w:tcW w:w="1980" w:type="dxa"/>
            <w:gridSpan w:val="2"/>
            <w:noWrap w:val="0"/>
            <w:vAlign w:val="center"/>
          </w:tcPr>
          <w:p w14:paraId="453DD41F">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联系人电话</w:t>
            </w:r>
          </w:p>
        </w:tc>
        <w:tc>
          <w:tcPr>
            <w:tcW w:w="2515" w:type="dxa"/>
            <w:gridSpan w:val="2"/>
            <w:noWrap w:val="0"/>
            <w:vAlign w:val="center"/>
          </w:tcPr>
          <w:p w14:paraId="6EEAEE98">
            <w:pPr>
              <w:widowControl/>
              <w:spacing w:line="0" w:lineRule="atLeast"/>
              <w:jc w:val="center"/>
              <w:rPr>
                <w:rFonts w:hint="eastAsia" w:ascii="仿宋_GB2312" w:hAnsi="仿宋_GB2312" w:eastAsia="仿宋_GB2312" w:cs="仿宋_GB2312"/>
                <w:kern w:val="0"/>
                <w:sz w:val="28"/>
                <w:szCs w:val="28"/>
              </w:rPr>
            </w:pPr>
          </w:p>
        </w:tc>
      </w:tr>
      <w:tr w14:paraId="253F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exact"/>
          <w:jc w:val="center"/>
        </w:trPr>
        <w:tc>
          <w:tcPr>
            <w:tcW w:w="2382" w:type="dxa"/>
            <w:noWrap w:val="0"/>
            <w:vAlign w:val="center"/>
          </w:tcPr>
          <w:p w14:paraId="05E3455B">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进口科普</w:t>
            </w:r>
          </w:p>
          <w:p w14:paraId="7F8A8EC4">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用品类型</w:t>
            </w:r>
          </w:p>
          <w:p w14:paraId="7620C2DD">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类型</w:t>
            </w:r>
          </w:p>
        </w:tc>
        <w:tc>
          <w:tcPr>
            <w:tcW w:w="1838" w:type="dxa"/>
            <w:gridSpan w:val="2"/>
            <w:noWrap w:val="0"/>
            <w:vAlign w:val="center"/>
          </w:tcPr>
          <w:p w14:paraId="3A9A13DB">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拷贝（  ）</w:t>
            </w:r>
          </w:p>
        </w:tc>
        <w:tc>
          <w:tcPr>
            <w:tcW w:w="1987" w:type="dxa"/>
            <w:gridSpan w:val="3"/>
            <w:noWrap w:val="0"/>
            <w:vAlign w:val="center"/>
          </w:tcPr>
          <w:p w14:paraId="40E38F8D">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工作带（  ）</w:t>
            </w:r>
          </w:p>
        </w:tc>
        <w:tc>
          <w:tcPr>
            <w:tcW w:w="2508" w:type="dxa"/>
            <w:noWrap w:val="0"/>
            <w:vAlign w:val="center"/>
          </w:tcPr>
          <w:p w14:paraId="5A47D0AD">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硬盘（  ）</w:t>
            </w:r>
          </w:p>
        </w:tc>
      </w:tr>
      <w:tr w14:paraId="64B8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exact"/>
          <w:jc w:val="center"/>
        </w:trPr>
        <w:tc>
          <w:tcPr>
            <w:tcW w:w="2382" w:type="dxa"/>
            <w:noWrap w:val="0"/>
            <w:vAlign w:val="center"/>
          </w:tcPr>
          <w:p w14:paraId="093713F1">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进口科普</w:t>
            </w:r>
            <w:r>
              <w:rPr>
                <w:rFonts w:hint="eastAsia" w:ascii="仿宋_GB2312" w:hAnsi="仿宋_GB2312" w:eastAsia="仿宋_GB2312" w:cs="仿宋_GB2312"/>
                <w:kern w:val="0"/>
                <w:sz w:val="28"/>
                <w:szCs w:val="28"/>
                <w:lang w:eastAsia="zh-CN"/>
              </w:rPr>
              <w:t>影视作品</w:t>
            </w:r>
            <w:r>
              <w:rPr>
                <w:rFonts w:hint="eastAsia" w:ascii="仿宋_GB2312" w:hAnsi="仿宋_GB2312" w:eastAsia="仿宋_GB2312" w:cs="仿宋_GB2312"/>
                <w:kern w:val="0"/>
                <w:sz w:val="28"/>
                <w:szCs w:val="28"/>
              </w:rPr>
              <w:t>的具体名称、内容和数量</w:t>
            </w:r>
          </w:p>
        </w:tc>
        <w:tc>
          <w:tcPr>
            <w:tcW w:w="6333" w:type="dxa"/>
            <w:gridSpan w:val="6"/>
            <w:noWrap w:val="0"/>
            <w:vAlign w:val="center"/>
          </w:tcPr>
          <w:p w14:paraId="458B5F12">
            <w:pPr>
              <w:widowControl/>
              <w:spacing w:line="0" w:lineRule="atLeas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（请另附详细清单，包括具体名称、内容和数量）</w:t>
            </w:r>
          </w:p>
          <w:p w14:paraId="19CF7349">
            <w:pPr>
              <w:widowControl/>
              <w:spacing w:line="0" w:lineRule="atLeast"/>
              <w:jc w:val="left"/>
              <w:rPr>
                <w:rFonts w:hint="eastAsia" w:ascii="仿宋_GB2312" w:hAnsi="仿宋_GB2312" w:eastAsia="仿宋_GB2312" w:cs="仿宋_GB2312"/>
                <w:kern w:val="0"/>
                <w:sz w:val="28"/>
                <w:szCs w:val="28"/>
              </w:rPr>
            </w:pPr>
          </w:p>
          <w:p w14:paraId="436B299C">
            <w:pPr>
              <w:widowControl/>
              <w:spacing w:line="0" w:lineRule="atLeast"/>
              <w:jc w:val="left"/>
              <w:rPr>
                <w:rFonts w:hint="eastAsia" w:ascii="仿宋_GB2312" w:hAnsi="仿宋_GB2312" w:eastAsia="仿宋_GB2312" w:cs="仿宋_GB2312"/>
                <w:kern w:val="0"/>
                <w:sz w:val="28"/>
                <w:szCs w:val="28"/>
              </w:rPr>
            </w:pPr>
          </w:p>
        </w:tc>
      </w:tr>
      <w:tr w14:paraId="2C05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382" w:type="dxa"/>
            <w:noWrap w:val="0"/>
            <w:vAlign w:val="center"/>
          </w:tcPr>
          <w:p w14:paraId="39FB7BE9">
            <w:pPr>
              <w:widowControl/>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拟进口时间</w:t>
            </w:r>
          </w:p>
        </w:tc>
        <w:tc>
          <w:tcPr>
            <w:tcW w:w="6333" w:type="dxa"/>
            <w:gridSpan w:val="6"/>
            <w:noWrap w:val="0"/>
            <w:vAlign w:val="center"/>
          </w:tcPr>
          <w:p w14:paraId="54D2D7E9">
            <w:pPr>
              <w:widowControl/>
              <w:spacing w:line="0" w:lineRule="atLeast"/>
              <w:jc w:val="left"/>
              <w:rPr>
                <w:rFonts w:hint="eastAsia" w:ascii="仿宋_GB2312" w:hAnsi="仿宋_GB2312" w:eastAsia="仿宋_GB2312" w:cs="仿宋_GB2312"/>
                <w:kern w:val="0"/>
                <w:sz w:val="28"/>
                <w:szCs w:val="28"/>
              </w:rPr>
            </w:pPr>
          </w:p>
        </w:tc>
      </w:tr>
      <w:tr w14:paraId="702D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exact"/>
          <w:jc w:val="center"/>
        </w:trPr>
        <w:tc>
          <w:tcPr>
            <w:tcW w:w="4220" w:type="dxa"/>
            <w:gridSpan w:val="3"/>
            <w:noWrap w:val="0"/>
            <w:vAlign w:val="center"/>
          </w:tcPr>
          <w:p w14:paraId="0DD33099">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国家科普影视作品相关免税进口商品清单</w:t>
            </w:r>
            <w:r>
              <w:rPr>
                <w:rFonts w:hint="eastAsia" w:ascii="仿宋_GB2312" w:hAnsi="仿宋_GB2312" w:eastAsia="仿宋_GB2312" w:cs="仿宋_GB2312"/>
                <w:kern w:val="0"/>
                <w:sz w:val="28"/>
                <w:szCs w:val="28"/>
              </w:rPr>
              <w:fldChar w:fldCharType="begin"/>
            </w:r>
            <w:r>
              <w:rPr>
                <w:rFonts w:hint="eastAsia" w:ascii="仿宋_GB2312" w:hAnsi="仿宋_GB2312" w:eastAsia="仿宋_GB2312" w:cs="仿宋_GB2312"/>
                <w:kern w:val="0"/>
                <w:sz w:val="28"/>
                <w:szCs w:val="28"/>
              </w:rPr>
              <w:instrText xml:space="preserve"> HYPERLINK "https://www.gov.cn/zhengce/zhengceku/202602/P020260214477017271333.pdf" \o "科普影视作品相关免税进口商品清单（2026年版） .pdf" </w:instrText>
            </w:r>
            <w:r>
              <w:rPr>
                <w:rFonts w:hint="eastAsia" w:ascii="仿宋_GB2312" w:hAnsi="仿宋_GB2312" w:eastAsia="仿宋_GB2312" w:cs="仿宋_GB2312"/>
                <w:kern w:val="0"/>
                <w:sz w:val="28"/>
                <w:szCs w:val="28"/>
              </w:rPr>
              <w:fldChar w:fldCharType="separate"/>
            </w:r>
            <w:r>
              <w:rPr>
                <w:rFonts w:hint="eastAsia" w:ascii="仿宋_GB2312" w:hAnsi="仿宋_GB2312" w:eastAsia="仿宋_GB2312" w:cs="仿宋_GB2312"/>
                <w:kern w:val="0"/>
                <w:sz w:val="28"/>
                <w:szCs w:val="28"/>
              </w:rPr>
              <w:t>（2026年版）</w:t>
            </w:r>
            <w:r>
              <w:rPr>
                <w:rFonts w:hint="eastAsia" w:ascii="仿宋_GB2312" w:hAnsi="仿宋_GB2312" w:eastAsia="仿宋_GB2312" w:cs="仿宋_GB2312"/>
                <w:kern w:val="0"/>
                <w:sz w:val="28"/>
                <w:szCs w:val="28"/>
              </w:rPr>
              <w:fldChar w:fldCharType="end"/>
            </w:r>
            <w:r>
              <w:rPr>
                <w:rFonts w:hint="eastAsia" w:ascii="仿宋_GB2312" w:hAnsi="仿宋_GB2312" w:eastAsia="仿宋_GB2312" w:cs="仿宋_GB2312"/>
                <w:kern w:val="0"/>
                <w:sz w:val="28"/>
                <w:szCs w:val="28"/>
              </w:rPr>
              <w:t>所列</w:t>
            </w:r>
          </w:p>
          <w:p w14:paraId="70915708">
            <w:pPr>
              <w:widowControl/>
              <w:spacing w:line="0"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税则号列</w:t>
            </w:r>
          </w:p>
        </w:tc>
        <w:tc>
          <w:tcPr>
            <w:tcW w:w="4495" w:type="dxa"/>
            <w:gridSpan w:val="4"/>
            <w:noWrap w:val="0"/>
            <w:vAlign w:val="top"/>
          </w:tcPr>
          <w:p w14:paraId="48DEE46B">
            <w:pPr>
              <w:widowControl/>
              <w:spacing w:line="0" w:lineRule="atLeast"/>
              <w:jc w:val="left"/>
              <w:rPr>
                <w:rFonts w:hint="eastAsia" w:ascii="仿宋_GB2312" w:hAnsi="仿宋_GB2312" w:eastAsia="仿宋_GB2312" w:cs="仿宋_GB2312"/>
                <w:kern w:val="0"/>
                <w:sz w:val="28"/>
                <w:szCs w:val="28"/>
              </w:rPr>
            </w:pPr>
          </w:p>
        </w:tc>
      </w:tr>
      <w:tr w14:paraId="316F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382" w:type="dxa"/>
            <w:vMerge w:val="restart"/>
            <w:noWrap w:val="0"/>
            <w:vAlign w:val="center"/>
          </w:tcPr>
          <w:p w14:paraId="30B148D3">
            <w:pPr>
              <w:widowControl/>
              <w:spacing w:line="0" w:lineRule="atLeas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购买用途</w:t>
            </w:r>
          </w:p>
        </w:tc>
        <w:tc>
          <w:tcPr>
            <w:tcW w:w="2850" w:type="dxa"/>
            <w:gridSpan w:val="3"/>
            <w:noWrap w:val="0"/>
            <w:vAlign w:val="center"/>
          </w:tcPr>
          <w:p w14:paraId="4FC27FF9">
            <w:pPr>
              <w:widowControl/>
              <w:spacing w:line="0" w:lineRule="atLeast"/>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是否自用</w:t>
            </w:r>
          </w:p>
        </w:tc>
        <w:tc>
          <w:tcPr>
            <w:tcW w:w="3483" w:type="dxa"/>
            <w:gridSpan w:val="3"/>
            <w:noWrap w:val="0"/>
            <w:vAlign w:val="center"/>
          </w:tcPr>
          <w:p w14:paraId="2F6BD251">
            <w:pPr>
              <w:widowControl/>
              <w:spacing w:line="0" w:lineRule="atLeas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是（  ）；否（  ）</w:t>
            </w:r>
          </w:p>
          <w:p w14:paraId="4B995302">
            <w:pPr>
              <w:widowControl/>
              <w:spacing w:line="0" w:lineRule="atLeast"/>
              <w:jc w:val="center"/>
              <w:rPr>
                <w:rFonts w:hint="eastAsia" w:ascii="仿宋_GB2312" w:hAnsi="仿宋_GB2312" w:eastAsia="仿宋_GB2312" w:cs="仿宋_GB2312"/>
                <w:color w:val="auto"/>
                <w:kern w:val="0"/>
                <w:sz w:val="28"/>
                <w:szCs w:val="28"/>
              </w:rPr>
            </w:pPr>
          </w:p>
        </w:tc>
      </w:tr>
      <w:tr w14:paraId="1C0F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exact"/>
          <w:jc w:val="center"/>
        </w:trPr>
        <w:tc>
          <w:tcPr>
            <w:tcW w:w="2382" w:type="dxa"/>
            <w:vMerge w:val="continue"/>
            <w:noWrap w:val="0"/>
            <w:vAlign w:val="center"/>
          </w:tcPr>
          <w:p w14:paraId="679EE7CB">
            <w:pPr>
              <w:widowControl/>
              <w:spacing w:line="0" w:lineRule="atLeast"/>
              <w:rPr>
                <w:rFonts w:hint="eastAsia" w:ascii="仿宋_GB2312" w:hAnsi="仿宋_GB2312" w:eastAsia="仿宋_GB2312" w:cs="仿宋_GB2312"/>
                <w:color w:val="auto"/>
                <w:sz w:val="28"/>
                <w:szCs w:val="28"/>
              </w:rPr>
            </w:pPr>
          </w:p>
        </w:tc>
        <w:tc>
          <w:tcPr>
            <w:tcW w:w="2850" w:type="dxa"/>
            <w:gridSpan w:val="3"/>
            <w:noWrap w:val="0"/>
            <w:vAlign w:val="center"/>
          </w:tcPr>
          <w:p w14:paraId="1BB21942">
            <w:pPr>
              <w:widowControl/>
              <w:spacing w:line="0" w:lineRule="atLeast"/>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是否用于面向公众的科普活动</w:t>
            </w:r>
          </w:p>
        </w:tc>
        <w:tc>
          <w:tcPr>
            <w:tcW w:w="3483" w:type="dxa"/>
            <w:gridSpan w:val="3"/>
            <w:noWrap w:val="0"/>
            <w:vAlign w:val="center"/>
          </w:tcPr>
          <w:p w14:paraId="4EC09324">
            <w:pPr>
              <w:widowControl/>
              <w:spacing w:line="0" w:lineRule="atLeas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是（  ）；否（  ）</w:t>
            </w:r>
          </w:p>
        </w:tc>
      </w:tr>
      <w:tr w14:paraId="0B92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exact"/>
          <w:jc w:val="center"/>
        </w:trPr>
        <w:tc>
          <w:tcPr>
            <w:tcW w:w="2382" w:type="dxa"/>
            <w:vMerge w:val="restart"/>
            <w:noWrap w:val="0"/>
            <w:vAlign w:val="center"/>
          </w:tcPr>
          <w:p w14:paraId="07F42CE5">
            <w:pPr>
              <w:spacing w:line="0" w:lineRule="atLeas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申请理由</w:t>
            </w:r>
          </w:p>
        </w:tc>
        <w:tc>
          <w:tcPr>
            <w:tcW w:w="6333" w:type="dxa"/>
            <w:gridSpan w:val="6"/>
            <w:noWrap w:val="0"/>
            <w:vAlign w:val="center"/>
          </w:tcPr>
          <w:p w14:paraId="2EB9B5D2">
            <w:pPr>
              <w:widowControl/>
              <w:spacing w:line="0" w:lineRule="atLeas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1.中国境内无法获取：（   ）</w:t>
            </w:r>
          </w:p>
        </w:tc>
      </w:tr>
      <w:tr w14:paraId="519F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2382" w:type="dxa"/>
            <w:vMerge w:val="continue"/>
            <w:noWrap w:val="0"/>
            <w:vAlign w:val="center"/>
          </w:tcPr>
          <w:p w14:paraId="57EB0F67">
            <w:pPr>
              <w:spacing w:line="0" w:lineRule="atLeast"/>
              <w:jc w:val="left"/>
              <w:rPr>
                <w:rFonts w:hint="eastAsia" w:ascii="仿宋_GB2312" w:hAnsi="仿宋_GB2312" w:eastAsia="仿宋_GB2312" w:cs="仿宋_GB2312"/>
                <w:kern w:val="0"/>
                <w:sz w:val="28"/>
                <w:szCs w:val="28"/>
              </w:rPr>
            </w:pPr>
          </w:p>
        </w:tc>
        <w:tc>
          <w:tcPr>
            <w:tcW w:w="6333" w:type="dxa"/>
            <w:gridSpan w:val="6"/>
            <w:noWrap w:val="0"/>
            <w:vAlign w:val="center"/>
          </w:tcPr>
          <w:p w14:paraId="39FE1E03">
            <w:pPr>
              <w:widowControl/>
              <w:spacing w:line="0" w:lineRule="atLeas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2.无法以合理的商业条件获取：（   ）</w:t>
            </w:r>
          </w:p>
        </w:tc>
      </w:tr>
      <w:tr w14:paraId="2EF0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2382" w:type="dxa"/>
            <w:vMerge w:val="continue"/>
            <w:noWrap w:val="0"/>
            <w:vAlign w:val="center"/>
          </w:tcPr>
          <w:p w14:paraId="6DCF13E7">
            <w:pPr>
              <w:widowControl/>
              <w:spacing w:line="0" w:lineRule="atLeast"/>
              <w:jc w:val="left"/>
              <w:rPr>
                <w:rFonts w:hint="eastAsia" w:ascii="仿宋_GB2312" w:hAnsi="仿宋_GB2312" w:eastAsia="仿宋_GB2312" w:cs="仿宋_GB2312"/>
                <w:kern w:val="0"/>
                <w:sz w:val="28"/>
                <w:szCs w:val="28"/>
              </w:rPr>
            </w:pPr>
          </w:p>
        </w:tc>
        <w:tc>
          <w:tcPr>
            <w:tcW w:w="6333" w:type="dxa"/>
            <w:gridSpan w:val="6"/>
            <w:noWrap w:val="0"/>
            <w:vAlign w:val="center"/>
          </w:tcPr>
          <w:p w14:paraId="1A6A754C">
            <w:pPr>
              <w:widowControl/>
              <w:spacing w:line="0" w:lineRule="atLeas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3.其他原因：</w:t>
            </w:r>
          </w:p>
        </w:tc>
      </w:tr>
      <w:tr w14:paraId="471A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715" w:type="dxa"/>
            <w:gridSpan w:val="7"/>
            <w:noWrap w:val="0"/>
            <w:vAlign w:val="center"/>
          </w:tcPr>
          <w:p w14:paraId="773647B2">
            <w:pPr>
              <w:widowControl/>
              <w:spacing w:line="0" w:lineRule="atLeas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声明：承诺所购买商品不会进行商业销售或挪作他用。</w:t>
            </w:r>
          </w:p>
        </w:tc>
      </w:tr>
    </w:tbl>
    <w:p w14:paraId="1667977E">
      <w:pPr>
        <w:rPr>
          <w:rFonts w:hint="eastAsia" w:ascii="黑体" w:hAnsi="黑体" w:eastAsia="黑体"/>
        </w:rPr>
      </w:pPr>
    </w:p>
    <w:p w14:paraId="0191AFE6">
      <w:pPr>
        <w:rPr>
          <w:rFonts w:hint="eastAsia" w:ascii="黑体" w:hAnsi="黑体" w:eastAsia="黑体"/>
        </w:rPr>
        <w:sectPr>
          <w:pgSz w:w="11906" w:h="16838"/>
          <w:pgMar w:top="2098" w:right="1531" w:bottom="1531" w:left="1531" w:header="851" w:footer="992" w:gutter="0"/>
          <w:pgNumType w:fmt="decimal"/>
          <w:cols w:space="720" w:num="1"/>
          <w:docGrid w:type="lines" w:linePitch="312" w:charSpace="0"/>
        </w:sectPr>
      </w:pPr>
    </w:p>
    <w:p w14:paraId="21FFA375">
      <w:pPr>
        <w:rPr>
          <w:rFonts w:hint="eastAsia" w:ascii="黑体" w:hAnsi="黑体" w:eastAsia="黑体"/>
        </w:rPr>
      </w:pPr>
      <w:r>
        <w:rPr>
          <w:rFonts w:hint="eastAsia" w:ascii="黑体" w:hAnsi="黑体" w:eastAsia="黑体"/>
        </w:rPr>
        <w:t xml:space="preserve">附件2 </w:t>
      </w:r>
    </w:p>
    <w:p w14:paraId="237B1843">
      <w:pPr>
        <w:spacing w:line="240" w:lineRule="exact"/>
        <w:rPr>
          <w:rFonts w:hint="eastAsia" w:ascii="黑体" w:hAnsi="黑体" w:eastAsia="黑体"/>
        </w:rPr>
      </w:pPr>
    </w:p>
    <w:p w14:paraId="43CAA2AF">
      <w:pPr>
        <w:jc w:val="center"/>
        <w:rPr>
          <w:rFonts w:hint="eastAsia" w:ascii="方正小标宋简体" w:eastAsia="方正小标宋简体"/>
          <w:sz w:val="36"/>
          <w:szCs w:val="36"/>
        </w:rPr>
      </w:pPr>
      <w:r>
        <w:rPr>
          <w:rFonts w:hint="eastAsia" w:ascii="方正小标宋简体" w:eastAsia="方正小标宋简体"/>
          <w:sz w:val="36"/>
          <w:szCs w:val="36"/>
        </w:rPr>
        <w:t xml:space="preserve"> “十</w:t>
      </w:r>
      <w:r>
        <w:rPr>
          <w:rFonts w:hint="eastAsia" w:ascii="方正小标宋简体" w:eastAsia="方正小标宋简体"/>
          <w:sz w:val="36"/>
          <w:szCs w:val="36"/>
          <w:lang w:eastAsia="zh-CN"/>
        </w:rPr>
        <w:t>五</w:t>
      </w:r>
      <w:r>
        <w:rPr>
          <w:rFonts w:hint="eastAsia" w:ascii="方正小标宋简体" w:eastAsia="方正小标宋简体"/>
          <w:sz w:val="36"/>
          <w:szCs w:val="36"/>
        </w:rPr>
        <w:t>五”期间支持科普事业发展进口税收</w:t>
      </w:r>
      <w:r>
        <w:rPr>
          <w:rFonts w:hint="eastAsia" w:ascii="方正小标宋简体" w:eastAsia="方正小标宋简体"/>
          <w:sz w:val="36"/>
          <w:szCs w:val="36"/>
          <w:lang w:eastAsia="zh-CN"/>
        </w:rPr>
        <w:t>优惠</w:t>
      </w:r>
      <w:r>
        <w:rPr>
          <w:rFonts w:hint="eastAsia" w:ascii="方正小标宋简体" w:eastAsia="方正小标宋简体"/>
          <w:sz w:val="36"/>
          <w:szCs w:val="36"/>
        </w:rPr>
        <w:t>政策</w:t>
      </w:r>
    </w:p>
    <w:p w14:paraId="202B9BCA">
      <w:pPr>
        <w:jc w:val="center"/>
        <w:rPr>
          <w:rFonts w:hint="eastAsia" w:ascii="方正小标宋简体" w:eastAsia="方正小标宋简体"/>
          <w:sz w:val="36"/>
          <w:szCs w:val="36"/>
        </w:rPr>
      </w:pPr>
      <w:r>
        <w:rPr>
          <w:rFonts w:hint="eastAsia" w:ascii="方正小标宋简体" w:eastAsia="方正小标宋简体"/>
          <w:sz w:val="36"/>
          <w:szCs w:val="36"/>
        </w:rPr>
        <w:t>项下进口商品已征进口环节增值税未抵扣情况表</w:t>
      </w:r>
    </w:p>
    <w:p w14:paraId="7189CC8E">
      <w:pPr>
        <w:spacing w:line="0" w:lineRule="atLeast"/>
        <w:ind w:firstLine="3640" w:firstLineChars="13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编号：主管税务机关代码+四位流水号</w:t>
      </w:r>
    </w:p>
    <w:p w14:paraId="3CFD3440">
      <w:pPr>
        <w:spacing w:line="0" w:lineRule="atLeast"/>
        <w:rPr>
          <w:rFonts w:hint="eastAsia" w:ascii="仿宋" w:hAnsi="仿宋"/>
          <w:sz w:val="28"/>
          <w:szCs w:val="28"/>
        </w:rPr>
      </w:pPr>
    </w:p>
    <w:tbl>
      <w:tblPr>
        <w:tblStyle w:val="4"/>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9"/>
        <w:gridCol w:w="986"/>
        <w:gridCol w:w="1191"/>
        <w:gridCol w:w="1929"/>
        <w:gridCol w:w="673"/>
        <w:gridCol w:w="2727"/>
      </w:tblGrid>
      <w:tr w14:paraId="401F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439" w:type="dxa"/>
            <w:vMerge w:val="restart"/>
            <w:noWrap w:val="0"/>
            <w:vAlign w:val="center"/>
          </w:tcPr>
          <w:p w14:paraId="4D580855">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纳税人名称</w:t>
            </w:r>
          </w:p>
        </w:tc>
        <w:tc>
          <w:tcPr>
            <w:tcW w:w="2177" w:type="dxa"/>
            <w:gridSpan w:val="2"/>
            <w:vMerge w:val="restart"/>
            <w:noWrap w:val="0"/>
            <w:vAlign w:val="center"/>
          </w:tcPr>
          <w:p w14:paraId="7CE7E646">
            <w:pPr>
              <w:spacing w:line="0" w:lineRule="atLeast"/>
              <w:rPr>
                <w:rFonts w:hint="eastAsia" w:ascii="仿宋_GB2312" w:hAnsi="仿宋_GB2312" w:eastAsia="仿宋_GB2312" w:cs="仿宋_GB2312"/>
                <w:sz w:val="24"/>
                <w:szCs w:val="24"/>
              </w:rPr>
            </w:pPr>
          </w:p>
        </w:tc>
        <w:tc>
          <w:tcPr>
            <w:tcW w:w="2602" w:type="dxa"/>
            <w:gridSpan w:val="2"/>
            <w:noWrap w:val="0"/>
            <w:vAlign w:val="center"/>
          </w:tcPr>
          <w:p w14:paraId="7A1D5B72">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纳税人识别号或</w:t>
            </w:r>
          </w:p>
          <w:p w14:paraId="04DBF2ED">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统一社会信用代码</w:t>
            </w:r>
          </w:p>
        </w:tc>
        <w:tc>
          <w:tcPr>
            <w:tcW w:w="2727" w:type="dxa"/>
            <w:noWrap w:val="0"/>
            <w:vAlign w:val="center"/>
          </w:tcPr>
          <w:p w14:paraId="6337B928">
            <w:pPr>
              <w:spacing w:line="0" w:lineRule="atLeast"/>
              <w:rPr>
                <w:rFonts w:hint="eastAsia" w:ascii="仿宋_GB2312" w:hAnsi="仿宋_GB2312" w:eastAsia="仿宋_GB2312" w:cs="仿宋_GB2312"/>
                <w:sz w:val="24"/>
                <w:szCs w:val="24"/>
              </w:rPr>
            </w:pPr>
          </w:p>
        </w:tc>
      </w:tr>
      <w:tr w14:paraId="0368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439" w:type="dxa"/>
            <w:vMerge w:val="continue"/>
            <w:noWrap w:val="0"/>
            <w:vAlign w:val="center"/>
          </w:tcPr>
          <w:p w14:paraId="46D61897">
            <w:pPr>
              <w:spacing w:line="0" w:lineRule="atLeast"/>
              <w:jc w:val="center"/>
              <w:rPr>
                <w:rFonts w:hint="eastAsia" w:ascii="仿宋_GB2312" w:hAnsi="仿宋_GB2312" w:eastAsia="仿宋_GB2312" w:cs="仿宋_GB2312"/>
                <w:sz w:val="24"/>
                <w:szCs w:val="24"/>
              </w:rPr>
            </w:pPr>
          </w:p>
        </w:tc>
        <w:tc>
          <w:tcPr>
            <w:tcW w:w="2177" w:type="dxa"/>
            <w:gridSpan w:val="2"/>
            <w:vMerge w:val="continue"/>
            <w:noWrap w:val="0"/>
            <w:vAlign w:val="center"/>
          </w:tcPr>
          <w:p w14:paraId="3A23DED6">
            <w:pPr>
              <w:spacing w:line="0" w:lineRule="atLeast"/>
              <w:rPr>
                <w:rFonts w:hint="eastAsia" w:ascii="仿宋_GB2312" w:hAnsi="仿宋_GB2312" w:eastAsia="仿宋_GB2312" w:cs="仿宋_GB2312"/>
                <w:sz w:val="24"/>
                <w:szCs w:val="24"/>
              </w:rPr>
            </w:pPr>
          </w:p>
        </w:tc>
        <w:tc>
          <w:tcPr>
            <w:tcW w:w="2602" w:type="dxa"/>
            <w:gridSpan w:val="2"/>
            <w:noWrap w:val="0"/>
            <w:vAlign w:val="center"/>
          </w:tcPr>
          <w:p w14:paraId="01FB0027">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企业海关代码</w:t>
            </w:r>
          </w:p>
        </w:tc>
        <w:tc>
          <w:tcPr>
            <w:tcW w:w="2727" w:type="dxa"/>
            <w:noWrap w:val="0"/>
            <w:vAlign w:val="center"/>
          </w:tcPr>
          <w:p w14:paraId="43E867EC">
            <w:pPr>
              <w:spacing w:line="0" w:lineRule="atLeast"/>
              <w:rPr>
                <w:rFonts w:hint="eastAsia" w:ascii="仿宋_GB2312" w:hAnsi="仿宋_GB2312" w:eastAsia="仿宋_GB2312" w:cs="仿宋_GB2312"/>
                <w:sz w:val="24"/>
                <w:szCs w:val="24"/>
              </w:rPr>
            </w:pPr>
          </w:p>
        </w:tc>
      </w:tr>
      <w:tr w14:paraId="4271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439" w:type="dxa"/>
            <w:noWrap w:val="0"/>
            <w:vAlign w:val="center"/>
          </w:tcPr>
          <w:p w14:paraId="2674CBC8">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申报进口</w:t>
            </w:r>
          </w:p>
          <w:p w14:paraId="7F81A2B1">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时间</w:t>
            </w:r>
          </w:p>
        </w:tc>
        <w:tc>
          <w:tcPr>
            <w:tcW w:w="7506" w:type="dxa"/>
            <w:gridSpan w:val="5"/>
            <w:noWrap w:val="0"/>
            <w:vAlign w:val="center"/>
          </w:tcPr>
          <w:p w14:paraId="79A77800">
            <w:pPr>
              <w:spacing w:line="0" w:lineRule="atLeast"/>
              <w:ind w:firstLine="1200" w:firstLine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r w14:paraId="4FFA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9" w:type="dxa"/>
            <w:noWrap w:val="0"/>
            <w:vAlign w:val="center"/>
          </w:tcPr>
          <w:p w14:paraId="3253CEB9">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海关进口</w:t>
            </w:r>
          </w:p>
          <w:p w14:paraId="7D53D26F">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增值税</w:t>
            </w:r>
          </w:p>
          <w:p w14:paraId="30AA6D3B">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专用缴款书</w:t>
            </w:r>
          </w:p>
        </w:tc>
        <w:tc>
          <w:tcPr>
            <w:tcW w:w="7506" w:type="dxa"/>
            <w:gridSpan w:val="5"/>
            <w:noWrap w:val="0"/>
            <w:vAlign w:val="center"/>
          </w:tcPr>
          <w:p w14:paraId="1F90D871">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海关报关单（编号：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94EA301">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海关进口增值税专用缴款书（凭证号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4B8966A4">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进口环节增值税税款金额为（大写）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w:t>
            </w:r>
          </w:p>
        </w:tc>
      </w:tr>
      <w:tr w14:paraId="190C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1439" w:type="dxa"/>
            <w:noWrap w:val="0"/>
            <w:vAlign w:val="center"/>
          </w:tcPr>
          <w:p w14:paraId="166A14C4">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进项税额</w:t>
            </w:r>
          </w:p>
          <w:p w14:paraId="4E09DEE3">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抵扣情况</w:t>
            </w:r>
          </w:p>
        </w:tc>
        <w:tc>
          <w:tcPr>
            <w:tcW w:w="7506" w:type="dxa"/>
            <w:gridSpan w:val="5"/>
            <w:noWrap w:val="0"/>
            <w:vAlign w:val="center"/>
          </w:tcPr>
          <w:p w14:paraId="2907F841">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经审核，该纳税人上述海关进口增值税专用缴款书税额尚未申报抵扣。</w:t>
            </w:r>
          </w:p>
        </w:tc>
      </w:tr>
      <w:tr w14:paraId="43DB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439" w:type="dxa"/>
            <w:noWrap w:val="0"/>
            <w:vAlign w:val="center"/>
          </w:tcPr>
          <w:p w14:paraId="1329B822">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其他需要</w:t>
            </w:r>
          </w:p>
          <w:p w14:paraId="57965F3A">
            <w:pPr>
              <w:spacing w:line="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说明的事项</w:t>
            </w:r>
          </w:p>
        </w:tc>
        <w:tc>
          <w:tcPr>
            <w:tcW w:w="7506" w:type="dxa"/>
            <w:gridSpan w:val="5"/>
            <w:noWrap w:val="0"/>
            <w:vAlign w:val="center"/>
          </w:tcPr>
          <w:p w14:paraId="410D0A5A">
            <w:pPr>
              <w:spacing w:line="0" w:lineRule="atLeast"/>
              <w:rPr>
                <w:rFonts w:hint="eastAsia" w:ascii="仿宋_GB2312" w:hAnsi="仿宋_GB2312" w:eastAsia="仿宋_GB2312" w:cs="仿宋_GB2312"/>
                <w:sz w:val="24"/>
                <w:szCs w:val="24"/>
              </w:rPr>
            </w:pPr>
          </w:p>
        </w:tc>
      </w:tr>
      <w:tr w14:paraId="4EBF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0" w:hRule="atLeast"/>
          <w:jc w:val="center"/>
        </w:trPr>
        <w:tc>
          <w:tcPr>
            <w:tcW w:w="2425" w:type="dxa"/>
            <w:gridSpan w:val="2"/>
            <w:noWrap w:val="0"/>
            <w:vAlign w:val="center"/>
          </w:tcPr>
          <w:p w14:paraId="5F94F619">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审核意见： </w:t>
            </w:r>
          </w:p>
          <w:p w14:paraId="7D106A9E">
            <w:pPr>
              <w:spacing w:line="0" w:lineRule="atLeast"/>
              <w:rPr>
                <w:rFonts w:hint="eastAsia" w:ascii="仿宋_GB2312" w:hAnsi="仿宋_GB2312" w:eastAsia="仿宋_GB2312" w:cs="仿宋_GB2312"/>
                <w:sz w:val="24"/>
                <w:szCs w:val="24"/>
              </w:rPr>
            </w:pPr>
          </w:p>
          <w:p w14:paraId="543511E7">
            <w:pPr>
              <w:spacing w:line="0" w:lineRule="atLeast"/>
              <w:rPr>
                <w:rFonts w:hint="eastAsia" w:ascii="仿宋_GB2312" w:hAnsi="仿宋_GB2312" w:eastAsia="仿宋_GB2312" w:cs="仿宋_GB2312"/>
                <w:sz w:val="24"/>
                <w:szCs w:val="24"/>
              </w:rPr>
            </w:pPr>
          </w:p>
          <w:p w14:paraId="4E885B9D">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审核人： </w:t>
            </w:r>
          </w:p>
          <w:p w14:paraId="39267AC6">
            <w:pPr>
              <w:spacing w:line="0" w:lineRule="atLeast"/>
              <w:rPr>
                <w:rFonts w:hint="eastAsia" w:ascii="仿宋_GB2312" w:hAnsi="仿宋_GB2312" w:eastAsia="仿宋_GB2312" w:cs="仿宋_GB2312"/>
                <w:sz w:val="24"/>
                <w:szCs w:val="24"/>
              </w:rPr>
            </w:pPr>
          </w:p>
          <w:p w14:paraId="4C574C07">
            <w:pPr>
              <w:spacing w:line="0" w:lineRule="atLeast"/>
              <w:ind w:firstLine="1200" w:firstLine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c>
          <w:tcPr>
            <w:tcW w:w="3120" w:type="dxa"/>
            <w:gridSpan w:val="2"/>
            <w:noWrap w:val="0"/>
            <w:vAlign w:val="center"/>
          </w:tcPr>
          <w:p w14:paraId="0CACD5D3">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复核意见： </w:t>
            </w:r>
          </w:p>
          <w:p w14:paraId="1BB94CBE">
            <w:pPr>
              <w:spacing w:line="0" w:lineRule="atLeast"/>
              <w:rPr>
                <w:rFonts w:hint="eastAsia" w:ascii="仿宋_GB2312" w:hAnsi="仿宋_GB2312" w:eastAsia="仿宋_GB2312" w:cs="仿宋_GB2312"/>
                <w:sz w:val="24"/>
                <w:szCs w:val="24"/>
              </w:rPr>
            </w:pPr>
          </w:p>
          <w:p w14:paraId="773A9F18">
            <w:pPr>
              <w:spacing w:line="0" w:lineRule="atLeast"/>
              <w:rPr>
                <w:rFonts w:hint="eastAsia" w:ascii="仿宋_GB2312" w:hAnsi="仿宋_GB2312" w:eastAsia="仿宋_GB2312" w:cs="仿宋_GB2312"/>
                <w:sz w:val="24"/>
                <w:szCs w:val="24"/>
              </w:rPr>
            </w:pPr>
          </w:p>
          <w:p w14:paraId="0D9411BE">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复核人： </w:t>
            </w:r>
          </w:p>
          <w:p w14:paraId="2C092FAA">
            <w:pPr>
              <w:spacing w:line="0" w:lineRule="atLeast"/>
              <w:rPr>
                <w:rFonts w:hint="eastAsia" w:ascii="仿宋_GB2312" w:hAnsi="仿宋_GB2312" w:eastAsia="仿宋_GB2312" w:cs="仿宋_GB2312"/>
                <w:sz w:val="24"/>
                <w:szCs w:val="24"/>
              </w:rPr>
            </w:pPr>
          </w:p>
          <w:p w14:paraId="5E96CA6F">
            <w:pPr>
              <w:spacing w:line="0" w:lineRule="atLeast"/>
              <w:ind w:firstLine="1320" w:firstLineChars="5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c>
          <w:tcPr>
            <w:tcW w:w="3400" w:type="dxa"/>
            <w:gridSpan w:val="2"/>
            <w:noWrap w:val="0"/>
            <w:vAlign w:val="center"/>
          </w:tcPr>
          <w:p w14:paraId="75E42568">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局长意见： </w:t>
            </w:r>
          </w:p>
          <w:p w14:paraId="6AD5CA5B">
            <w:pPr>
              <w:spacing w:line="0" w:lineRule="atLeast"/>
              <w:rPr>
                <w:rFonts w:hint="eastAsia" w:ascii="仿宋_GB2312" w:hAnsi="仿宋_GB2312" w:eastAsia="仿宋_GB2312" w:cs="仿宋_GB2312"/>
                <w:sz w:val="24"/>
                <w:szCs w:val="24"/>
              </w:rPr>
            </w:pPr>
          </w:p>
          <w:p w14:paraId="000BFB1F">
            <w:pPr>
              <w:spacing w:line="0" w:lineRule="atLeast"/>
              <w:rPr>
                <w:rFonts w:hint="eastAsia" w:ascii="仿宋_GB2312" w:hAnsi="仿宋_GB2312" w:eastAsia="仿宋_GB2312" w:cs="仿宋_GB2312"/>
                <w:sz w:val="24"/>
                <w:szCs w:val="24"/>
              </w:rPr>
            </w:pPr>
          </w:p>
          <w:p w14:paraId="35CB2284">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局领导： </w:t>
            </w:r>
          </w:p>
          <w:p w14:paraId="52921E39">
            <w:pPr>
              <w:spacing w:line="0" w:lineRule="atLeast"/>
              <w:rPr>
                <w:rFonts w:hint="eastAsia" w:ascii="仿宋_GB2312" w:hAnsi="仿宋_GB2312" w:eastAsia="仿宋_GB2312" w:cs="仿宋_GB2312"/>
                <w:sz w:val="24"/>
                <w:szCs w:val="24"/>
              </w:rPr>
            </w:pPr>
          </w:p>
          <w:p w14:paraId="67A817C7">
            <w:pPr>
              <w:spacing w:line="0" w:lineRule="atLeast"/>
              <w:ind w:firstLine="1440" w:firstLineChars="6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（局章） </w:t>
            </w:r>
          </w:p>
          <w:p w14:paraId="39C2E74F">
            <w:pPr>
              <w:spacing w:line="0" w:lineRule="atLeast"/>
              <w:ind w:firstLine="1320" w:firstLineChars="5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bl>
    <w:p w14:paraId="277B6AA0">
      <w:pPr>
        <w:rPr>
          <w:rFonts w:hint="eastAsia"/>
        </w:rPr>
      </w:pPr>
    </w:p>
    <w:p w14:paraId="0B339314">
      <w:pPr>
        <w:rPr>
          <w:rFonts w:hint="eastAsia"/>
          <w:sz w:val="21"/>
          <w:szCs w:val="21"/>
        </w:rPr>
        <w:sectPr>
          <w:pgSz w:w="11906" w:h="16838"/>
          <w:pgMar w:top="2154" w:right="1531" w:bottom="1531" w:left="1531" w:header="851" w:footer="992" w:gutter="0"/>
          <w:pgNumType w:fmt="decimal"/>
          <w:cols w:space="720" w:num="1"/>
          <w:docGrid w:type="lines" w:linePitch="312" w:charSpace="0"/>
        </w:sectPr>
      </w:pPr>
    </w:p>
    <w:p w14:paraId="169B22D2">
      <w:pPr>
        <w:rPr>
          <w:rFonts w:hint="eastAsia"/>
          <w:sz w:val="21"/>
          <w:szCs w:val="21"/>
        </w:rPr>
      </w:pPr>
    </w:p>
    <w:p w14:paraId="122C52BA">
      <w:pPr>
        <w:rPr>
          <w:rFonts w:hint="eastAsia"/>
          <w:sz w:val="21"/>
          <w:szCs w:val="21"/>
        </w:rPr>
      </w:pPr>
    </w:p>
    <w:p w14:paraId="21454F26">
      <w:pPr>
        <w:rPr>
          <w:rFonts w:hint="eastAsia"/>
          <w:sz w:val="21"/>
          <w:szCs w:val="21"/>
        </w:rPr>
      </w:pPr>
    </w:p>
    <w:p w14:paraId="5603D721">
      <w:pPr>
        <w:rPr>
          <w:rFonts w:hint="eastAsia"/>
          <w:sz w:val="21"/>
          <w:szCs w:val="21"/>
        </w:rPr>
      </w:pPr>
    </w:p>
    <w:p w14:paraId="1B51CF40">
      <w:pPr>
        <w:rPr>
          <w:rFonts w:hint="eastAsia"/>
          <w:sz w:val="21"/>
          <w:szCs w:val="21"/>
        </w:rPr>
      </w:pPr>
    </w:p>
    <w:p w14:paraId="695D3D35">
      <w:pPr>
        <w:rPr>
          <w:rFonts w:hint="eastAsia"/>
          <w:sz w:val="21"/>
          <w:szCs w:val="21"/>
        </w:rPr>
      </w:pPr>
    </w:p>
    <w:p w14:paraId="3893DF6C">
      <w:pPr>
        <w:rPr>
          <w:rFonts w:hint="eastAsia"/>
          <w:sz w:val="21"/>
          <w:szCs w:val="21"/>
        </w:rPr>
      </w:pPr>
    </w:p>
    <w:p w14:paraId="500EA079">
      <w:pPr>
        <w:rPr>
          <w:rFonts w:hint="eastAsia"/>
          <w:sz w:val="21"/>
          <w:szCs w:val="21"/>
        </w:rPr>
      </w:pPr>
    </w:p>
    <w:p w14:paraId="5F4D429D">
      <w:pPr>
        <w:rPr>
          <w:rFonts w:hint="eastAsia"/>
          <w:sz w:val="21"/>
          <w:szCs w:val="21"/>
        </w:rPr>
      </w:pPr>
    </w:p>
    <w:p w14:paraId="160AA905">
      <w:pPr>
        <w:rPr>
          <w:rFonts w:hint="eastAsia"/>
          <w:sz w:val="21"/>
          <w:szCs w:val="21"/>
        </w:rPr>
      </w:pPr>
    </w:p>
    <w:p w14:paraId="48A44638">
      <w:pPr>
        <w:rPr>
          <w:rFonts w:hint="eastAsia"/>
          <w:sz w:val="21"/>
          <w:szCs w:val="21"/>
        </w:rPr>
      </w:pPr>
    </w:p>
    <w:p w14:paraId="0EB5578D">
      <w:pPr>
        <w:rPr>
          <w:rFonts w:hint="eastAsia"/>
          <w:sz w:val="21"/>
          <w:szCs w:val="21"/>
        </w:rPr>
      </w:pPr>
    </w:p>
    <w:p w14:paraId="3CB18479">
      <w:pPr>
        <w:rPr>
          <w:rFonts w:hint="eastAsia"/>
          <w:sz w:val="21"/>
          <w:szCs w:val="21"/>
        </w:rPr>
      </w:pPr>
    </w:p>
    <w:p w14:paraId="75F98E02">
      <w:pPr>
        <w:rPr>
          <w:rFonts w:hint="eastAsia"/>
          <w:sz w:val="21"/>
          <w:szCs w:val="21"/>
        </w:rPr>
      </w:pPr>
    </w:p>
    <w:p w14:paraId="3BBAB78E">
      <w:pPr>
        <w:rPr>
          <w:rFonts w:hint="eastAsia"/>
          <w:sz w:val="21"/>
          <w:szCs w:val="21"/>
        </w:rPr>
      </w:pPr>
    </w:p>
    <w:p w14:paraId="24E4B219">
      <w:pPr>
        <w:rPr>
          <w:rFonts w:hint="eastAsia"/>
          <w:sz w:val="21"/>
          <w:szCs w:val="21"/>
        </w:rPr>
      </w:pPr>
    </w:p>
    <w:p w14:paraId="6609DE7C">
      <w:pPr>
        <w:rPr>
          <w:rFonts w:hint="eastAsia"/>
          <w:sz w:val="21"/>
          <w:szCs w:val="21"/>
        </w:rPr>
      </w:pPr>
    </w:p>
    <w:p w14:paraId="54B16C20">
      <w:pPr>
        <w:rPr>
          <w:rFonts w:hint="eastAsia"/>
          <w:sz w:val="21"/>
          <w:szCs w:val="21"/>
        </w:rPr>
      </w:pPr>
    </w:p>
    <w:p w14:paraId="0D5B5233">
      <w:pPr>
        <w:rPr>
          <w:rFonts w:hint="eastAsia"/>
          <w:sz w:val="21"/>
          <w:szCs w:val="21"/>
        </w:rPr>
      </w:pPr>
    </w:p>
    <w:p w14:paraId="43224C31">
      <w:pPr>
        <w:rPr>
          <w:rFonts w:hint="eastAsia"/>
          <w:sz w:val="21"/>
          <w:szCs w:val="21"/>
        </w:rPr>
      </w:pPr>
    </w:p>
    <w:p w14:paraId="2EB5503C">
      <w:pPr>
        <w:rPr>
          <w:rFonts w:hint="eastAsia"/>
          <w:sz w:val="21"/>
          <w:szCs w:val="21"/>
        </w:rPr>
      </w:pPr>
    </w:p>
    <w:p w14:paraId="16106FD2">
      <w:pPr>
        <w:rPr>
          <w:rFonts w:hint="eastAsia"/>
          <w:sz w:val="21"/>
          <w:szCs w:val="21"/>
        </w:rPr>
      </w:pPr>
    </w:p>
    <w:p w14:paraId="1FFA0F16">
      <w:pPr>
        <w:rPr>
          <w:rFonts w:hint="eastAsia"/>
          <w:sz w:val="21"/>
          <w:szCs w:val="21"/>
        </w:rPr>
      </w:pPr>
    </w:p>
    <w:p w14:paraId="1883FD66">
      <w:pPr>
        <w:rPr>
          <w:rFonts w:hint="eastAsia"/>
          <w:sz w:val="21"/>
          <w:szCs w:val="21"/>
        </w:rPr>
      </w:pPr>
    </w:p>
    <w:p w14:paraId="380608A9">
      <w:pPr>
        <w:rPr>
          <w:rFonts w:hint="eastAsia"/>
          <w:sz w:val="21"/>
          <w:szCs w:val="21"/>
        </w:rPr>
      </w:pPr>
    </w:p>
    <w:p w14:paraId="7EDA219B">
      <w:pPr>
        <w:rPr>
          <w:rFonts w:hint="eastAsia"/>
          <w:sz w:val="21"/>
          <w:szCs w:val="21"/>
        </w:rPr>
      </w:pPr>
    </w:p>
    <w:p w14:paraId="1F9EC0E8">
      <w:pPr>
        <w:rPr>
          <w:rFonts w:hint="eastAsia"/>
          <w:sz w:val="21"/>
          <w:szCs w:val="21"/>
        </w:rPr>
      </w:pPr>
    </w:p>
    <w:p w14:paraId="487AC5A8">
      <w:pPr>
        <w:rPr>
          <w:rFonts w:hint="eastAsia"/>
          <w:sz w:val="21"/>
          <w:szCs w:val="21"/>
        </w:rPr>
      </w:pPr>
    </w:p>
    <w:p w14:paraId="4BFD2BDE">
      <w:pPr>
        <w:rPr>
          <w:rFonts w:hint="eastAsia"/>
          <w:sz w:val="21"/>
          <w:szCs w:val="21"/>
        </w:rPr>
      </w:pPr>
    </w:p>
    <w:p w14:paraId="0A60E6AD">
      <w:pPr>
        <w:rPr>
          <w:rFonts w:hint="eastAsia"/>
          <w:sz w:val="21"/>
          <w:szCs w:val="21"/>
        </w:rPr>
      </w:pPr>
    </w:p>
    <w:p w14:paraId="3F5C8237">
      <w:pPr>
        <w:rPr>
          <w:rFonts w:hint="eastAsia"/>
          <w:sz w:val="21"/>
          <w:szCs w:val="21"/>
        </w:rPr>
      </w:pPr>
    </w:p>
    <w:p w14:paraId="342885B9">
      <w:pPr>
        <w:rPr>
          <w:rFonts w:hint="eastAsia"/>
          <w:sz w:val="21"/>
          <w:szCs w:val="21"/>
        </w:rPr>
      </w:pPr>
    </w:p>
    <w:p w14:paraId="6B53B508">
      <w:pPr>
        <w:rPr>
          <w:rFonts w:hint="eastAsia"/>
          <w:sz w:val="21"/>
          <w:szCs w:val="21"/>
        </w:rPr>
      </w:pPr>
    </w:p>
    <w:p w14:paraId="17A0A6BF">
      <w:pPr>
        <w:rPr>
          <w:rFonts w:hint="eastAsia"/>
          <w:sz w:val="21"/>
          <w:szCs w:val="21"/>
        </w:rPr>
      </w:pPr>
    </w:p>
    <w:p w14:paraId="24637261">
      <w:pPr>
        <w:rPr>
          <w:rFonts w:hint="eastAsia"/>
          <w:sz w:val="21"/>
          <w:szCs w:val="21"/>
        </w:rPr>
      </w:pPr>
    </w:p>
    <w:p w14:paraId="4AA1CFC6">
      <w:pPr>
        <w:rPr>
          <w:rFonts w:hint="eastAsia"/>
          <w:sz w:val="21"/>
          <w:szCs w:val="21"/>
        </w:rPr>
      </w:pPr>
    </w:p>
    <w:p w14:paraId="0B0B0EB2">
      <w:pPr>
        <w:rPr>
          <w:rFonts w:hint="eastAsia"/>
          <w:sz w:val="21"/>
          <w:szCs w:val="21"/>
        </w:rPr>
      </w:pPr>
    </w:p>
    <w:tbl>
      <w:tblPr>
        <w:tblStyle w:val="4"/>
        <w:tblW w:w="0" w:type="auto"/>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28" w:type="dxa"/>
          <w:bottom w:w="0" w:type="dxa"/>
          <w:right w:w="28" w:type="dxa"/>
        </w:tblCellMar>
      </w:tblPr>
      <w:tblGrid>
        <w:gridCol w:w="4450"/>
        <w:gridCol w:w="4407"/>
      </w:tblGrid>
      <w:tr w14:paraId="43BCF260">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28" w:type="dxa"/>
            <w:bottom w:w="0" w:type="dxa"/>
            <w:right w:w="28" w:type="dxa"/>
          </w:tblCellMar>
        </w:tblPrEx>
        <w:trPr>
          <w:trHeight w:val="170" w:hRule="atLeast"/>
          <w:jc w:val="center"/>
        </w:trPr>
        <w:tc>
          <w:tcPr>
            <w:tcW w:w="8857" w:type="dxa"/>
            <w:gridSpan w:val="2"/>
            <w:noWrap w:val="0"/>
            <w:vAlign w:val="bottom"/>
          </w:tcPr>
          <w:p w14:paraId="52962D2D">
            <w:pPr>
              <w:spacing w:after="100" w:line="460" w:lineRule="exact"/>
              <w:ind w:right="208" w:rightChars="65" w:firstLine="280" w:firstLineChars="1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报送：科技部</w:t>
            </w:r>
          </w:p>
          <w:p w14:paraId="72CBA81E">
            <w:pPr>
              <w:spacing w:after="100" w:line="460" w:lineRule="exact"/>
              <w:ind w:right="208" w:rightChars="65" w:firstLine="280" w:firstLineChars="100"/>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28"/>
                <w:szCs w:val="28"/>
              </w:rPr>
              <w:t>抄送：福州海关、厦门海关</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省税务局</w:t>
            </w:r>
            <w:r>
              <w:rPr>
                <w:rFonts w:hint="eastAsia" w:ascii="仿宋_GB2312" w:hAnsi="仿宋_GB2312" w:eastAsia="仿宋_GB2312" w:cs="仿宋_GB2312"/>
                <w:sz w:val="28"/>
                <w:szCs w:val="28"/>
                <w:lang w:eastAsia="zh-CN"/>
              </w:rPr>
              <w:t>、厦门市税务局</w:t>
            </w:r>
          </w:p>
        </w:tc>
      </w:tr>
      <w:tr w14:paraId="424CC392">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28" w:type="dxa"/>
            <w:bottom w:w="0" w:type="dxa"/>
            <w:right w:w="28" w:type="dxa"/>
          </w:tblCellMar>
        </w:tblPrEx>
        <w:trPr>
          <w:trHeight w:val="272" w:hRule="atLeast"/>
          <w:jc w:val="center"/>
        </w:trPr>
        <w:tc>
          <w:tcPr>
            <w:tcW w:w="4450" w:type="dxa"/>
            <w:noWrap w:val="0"/>
            <w:vAlign w:val="bottom"/>
          </w:tcPr>
          <w:p w14:paraId="7B08E995">
            <w:pPr>
              <w:spacing w:after="100" w:line="460" w:lineRule="exact"/>
              <w:ind w:right="208" w:rightChars="6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福建省科技厅办公室</w:t>
            </w:r>
          </w:p>
        </w:tc>
        <w:tc>
          <w:tcPr>
            <w:tcW w:w="4407" w:type="dxa"/>
            <w:noWrap w:val="0"/>
            <w:vAlign w:val="center"/>
          </w:tcPr>
          <w:p w14:paraId="46E44C0B">
            <w:pPr>
              <w:wordWrap w:val="0"/>
              <w:spacing w:after="100" w:afterAutospacing="1" w:line="460" w:lineRule="exact"/>
              <w:ind w:right="208" w:rightChars="65" w:firstLine="840" w:firstLineChars="300"/>
              <w:jc w:val="right"/>
              <w:textAlignment w:val="bottom"/>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日印发</w:t>
            </w:r>
          </w:p>
        </w:tc>
      </w:tr>
    </w:tbl>
    <w:p w14:paraId="6A015E3F"/>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0925B">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6D6B70">
                          <w:pPr>
                            <w:pStyle w:val="2"/>
                            <w:rPr>
                              <w:rStyle w:val="6"/>
                              <w:sz w:val="28"/>
                              <w:szCs w:val="28"/>
                            </w:rPr>
                          </w:pPr>
                          <w:r>
                            <w:rPr>
                              <w:rStyle w:val="6"/>
                              <w:sz w:val="28"/>
                              <w:szCs w:val="28"/>
                            </w:rPr>
                            <w:t xml:space="preserve">— </w:t>
                          </w:r>
                          <w:r>
                            <w:rPr>
                              <w:rStyle w:val="6"/>
                              <w:sz w:val="28"/>
                              <w:szCs w:val="28"/>
                            </w:rPr>
                            <w:fldChar w:fldCharType="begin"/>
                          </w:r>
                          <w:r>
                            <w:rPr>
                              <w:rStyle w:val="6"/>
                              <w:sz w:val="28"/>
                              <w:szCs w:val="28"/>
                            </w:rPr>
                            <w:instrText xml:space="preserve"> PAGE  \* MERGEFORMAT </w:instrText>
                          </w:r>
                          <w:r>
                            <w:rPr>
                              <w:rStyle w:val="6"/>
                              <w:sz w:val="28"/>
                              <w:szCs w:val="28"/>
                            </w:rPr>
                            <w:fldChar w:fldCharType="separate"/>
                          </w:r>
                          <w:r>
                            <w:rPr>
                              <w:rStyle w:val="6"/>
                              <w:sz w:val="28"/>
                              <w:szCs w:val="28"/>
                            </w:rPr>
                            <w:t>- 1 -</w:t>
                          </w:r>
                          <w:r>
                            <w:rPr>
                              <w:rStyle w:val="6"/>
                              <w:sz w:val="28"/>
                              <w:szCs w:val="28"/>
                            </w:rPr>
                            <w:fldChar w:fldCharType="end"/>
                          </w:r>
                          <w:r>
                            <w:rPr>
                              <w:rStyle w:val="6"/>
                              <w:sz w:val="28"/>
                              <w:szCs w:val="28"/>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05pt;height:144pt;width:144pt;mso-position-horizontal:outside;mso-position-horizontal-relative:margin;mso-wrap-style:none;z-index:251659264;mso-width-relative:page;mso-height-relative:page;" filled="f" stroked="f" coordsize="21600,21600" o:gfxdata="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k+a+7QAAAABQEAAA8AAAAAAAAAAQAg&#10;AAAAIgAAAGRycy9kb3ducmV2LnhtbFBLAQIUABQAAAAIAIdO4kCaJuXR3QEAAL4DAAAOAAAAAAAA&#10;AAEAIAAAAB8BAABkcnMvZTJvRG9jLnhtbFBLBQYAAAAABgAGAFkBAABuBQAAAAA=&#10;">
              <v:fill on="f" focussize="0,0"/>
              <v:stroke on="f"/>
              <v:imagedata o:title=""/>
              <o:lock v:ext="edit" aspectratio="f"/>
              <v:textbox inset="0mm,0mm,0mm,0mm" style="mso-fit-shape-to-text:t;">
                <w:txbxContent>
                  <w:p w14:paraId="036D6B70">
                    <w:pPr>
                      <w:pStyle w:val="2"/>
                      <w:rPr>
                        <w:rStyle w:val="6"/>
                        <w:sz w:val="28"/>
                        <w:szCs w:val="28"/>
                      </w:rPr>
                    </w:pPr>
                    <w:r>
                      <w:rPr>
                        <w:rStyle w:val="6"/>
                        <w:sz w:val="28"/>
                        <w:szCs w:val="28"/>
                      </w:rPr>
                      <w:t xml:space="preserve">— </w:t>
                    </w:r>
                    <w:r>
                      <w:rPr>
                        <w:rStyle w:val="6"/>
                        <w:sz w:val="28"/>
                        <w:szCs w:val="28"/>
                      </w:rPr>
                      <w:fldChar w:fldCharType="begin"/>
                    </w:r>
                    <w:r>
                      <w:rPr>
                        <w:rStyle w:val="6"/>
                        <w:sz w:val="28"/>
                        <w:szCs w:val="28"/>
                      </w:rPr>
                      <w:instrText xml:space="preserve"> PAGE  \* MERGEFORMAT </w:instrText>
                    </w:r>
                    <w:r>
                      <w:rPr>
                        <w:rStyle w:val="6"/>
                        <w:sz w:val="28"/>
                        <w:szCs w:val="28"/>
                      </w:rPr>
                      <w:fldChar w:fldCharType="separate"/>
                    </w:r>
                    <w:r>
                      <w:rPr>
                        <w:rStyle w:val="6"/>
                        <w:sz w:val="28"/>
                        <w:szCs w:val="28"/>
                      </w:rPr>
                      <w:t>- 1 -</w:t>
                    </w:r>
                    <w:r>
                      <w:rPr>
                        <w:rStyle w:val="6"/>
                        <w:sz w:val="28"/>
                        <w:szCs w:val="28"/>
                      </w:rPr>
                      <w:fldChar w:fldCharType="end"/>
                    </w:r>
                    <w:r>
                      <w:rPr>
                        <w:rStyle w:val="6"/>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2BA6F">
    <w:pPr>
      <w:pStyle w:val="2"/>
      <w:framePr w:wrap="around" w:vAnchor="text" w:hAnchor="margin" w:xAlign="outside" w:y="1"/>
      <w:rPr>
        <w:rStyle w:val="6"/>
      </w:rPr>
    </w:pPr>
    <w:r>
      <w:fldChar w:fldCharType="begin"/>
    </w:r>
    <w:r>
      <w:rPr>
        <w:rStyle w:val="6"/>
      </w:rPr>
      <w:instrText xml:space="preserve">PAGE  </w:instrText>
    </w:r>
    <w:r>
      <w:fldChar w:fldCharType="end"/>
    </w:r>
  </w:p>
  <w:p w14:paraId="41C25D4B">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375A7B"/>
    <w:rsid w:val="5D7B532D"/>
    <w:rsid w:val="67FBF8AA"/>
    <w:rsid w:val="67FF67F2"/>
    <w:rsid w:val="6CDB4C4B"/>
    <w:rsid w:val="76F9D0B9"/>
    <w:rsid w:val="77FD1603"/>
    <w:rsid w:val="7F33601A"/>
    <w:rsid w:val="7F7E4ACB"/>
    <w:rsid w:val="7FEC024E"/>
    <w:rsid w:val="7FEFD8D1"/>
    <w:rsid w:val="A7B3F838"/>
    <w:rsid w:val="B7F490E9"/>
    <w:rsid w:val="BDD612B6"/>
    <w:rsid w:val="C677609F"/>
    <w:rsid w:val="CFBF210F"/>
    <w:rsid w:val="DEEF347F"/>
    <w:rsid w:val="DFF7836D"/>
    <w:rsid w:val="EEB3D04E"/>
    <w:rsid w:val="F9FF0095"/>
    <w:rsid w:val="FF4DAC6E"/>
    <w:rsid w:val="FFDFF8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176.333333333333</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2026-04-14T02:15:00Z</dcterms:created>
  <dc:creator>kjt</dc:creator>
  <cp:lastModifiedBy>zz洲</cp:lastModifiedBy>
  <dcterms:modified xsi:type="dcterms:W3CDTF">2026-10-23T15:53:29Z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7CD2C5C105D6BF1C7912DB6A1DCAD3BC_43</vt:lpwstr>
  </property>
</Properties>
</file>