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ind w:right="800"/>
        <w:rPr>
          <w:rFonts w:hint="eastAsia" w:ascii="黑体" w:eastAsia="黑体"/>
          <w:b/>
          <w:szCs w:val="32"/>
        </w:rPr>
      </w:pPr>
    </w:p>
    <w:p>
      <w:pPr>
        <w:snapToGrid w:val="0"/>
        <w:spacing w:line="600" w:lineRule="exact"/>
        <w:ind w:right="160"/>
        <w:jc w:val="right"/>
        <w:rPr>
          <w:rFonts w:hint="eastAsia" w:ascii="黑体" w:eastAsia="黑体"/>
          <w:b/>
          <w:szCs w:val="32"/>
        </w:rPr>
      </w:pPr>
      <w:r>
        <w:rPr>
          <w:rFonts w:hint="eastAsia" w:ascii="黑体" w:eastAsia="黑体"/>
          <w:b/>
          <w:szCs w:val="32"/>
        </w:rPr>
        <mc:AlternateContent>
          <mc:Choice Requires="wps">
            <w:drawing>
              <wp:anchor distT="0" distB="0" distL="114300" distR="114300" simplePos="0" relativeHeight="251662336" behindDoc="0" locked="0" layoutInCell="1" allowOverlap="1">
                <wp:simplePos x="0" y="0"/>
                <wp:positionH relativeFrom="column">
                  <wp:posOffset>101600</wp:posOffset>
                </wp:positionH>
                <wp:positionV relativeFrom="page">
                  <wp:posOffset>2067560</wp:posOffset>
                </wp:positionV>
                <wp:extent cx="5588000" cy="11029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588000" cy="1102995"/>
                        </a:xfrm>
                        <a:prstGeom prst="rect">
                          <a:avLst/>
                        </a:prstGeom>
                        <a:noFill/>
                        <a:ln>
                          <a:noFill/>
                        </a:ln>
                      </wps:spPr>
                      <wps:txbx>
                        <w:txbxContent>
                          <w:p>
                            <w:pPr>
                              <w:snapToGrid w:val="0"/>
                              <w:jc w:val="distribute"/>
                              <w:rPr>
                                <w:rFonts w:hint="eastAsia"/>
                                <w:b/>
                                <w:spacing w:val="12"/>
                                <w:w w:val="66"/>
                                <w:kern w:val="15"/>
                                <w:sz w:val="108"/>
                                <w:szCs w:val="108"/>
                              </w:rPr>
                            </w:pPr>
                            <w:bookmarkStart w:id="3" w:name="RedHead"/>
                            <w:r>
                              <w:rPr>
                                <w:rFonts w:hint="eastAsia" w:ascii="方正小标宋简体" w:hAnsi="Batang" w:eastAsia="方正小标宋简体" w:cs="Arial"/>
                                <w:b/>
                                <w:bCs/>
                                <w:color w:val="FF0000"/>
                                <w:spacing w:val="12"/>
                                <w:w w:val="66"/>
                                <w:kern w:val="15"/>
                                <w:sz w:val="108"/>
                                <w:szCs w:val="108"/>
                              </w:rPr>
                              <w:t xml:space="preserve">福建省科学技术厅文件         </w:t>
                            </w:r>
                            <w:bookmarkEnd w:id="3"/>
                          </w:p>
                        </w:txbxContent>
                      </wps:txbx>
                      <wps:bodyPr lIns="0" tIns="0" rIns="0" bIns="0" upright="1"/>
                    </wps:wsp>
                  </a:graphicData>
                </a:graphic>
              </wp:anchor>
            </w:drawing>
          </mc:Choice>
          <mc:Fallback>
            <w:pict>
              <v:shape id="_x0000_s1026" o:spid="_x0000_s1026" o:spt="202" type="#_x0000_t202" style="position:absolute;left:0pt;margin-left:8pt;margin-top:162.8pt;height:86.85pt;width:440pt;mso-position-vertical-relative:page;z-index:251662336;mso-width-relative:page;mso-height-relative:page;" filled="f" stroked="f" coordsize="21600,21600" o:gfxdata="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Tt5gNkAAAAKAQAADwAAAAAAAAABACAAAAAiAAAAZHJzL2Rvd25yZXYueG1sUEsB&#10;AhQAFAAAAAgAh07iQHSwkgm7AQAAcwMAAA4AAAAAAAAAAQAgAAAAKAEAAGRycy9lMm9Eb2MueG1s&#10;UEsFBgAAAAAGAAYAWQEAAFUFAAAAAA==&#10;">
                <v:fill on="f" focussize="0,0"/>
                <v:stroke on="f"/>
                <v:imagedata o:title=""/>
                <o:lock v:ext="edit" aspectratio="f"/>
                <v:textbox inset="0mm,0mm,0mm,0mm">
                  <w:txbxContent>
                    <w:p>
                      <w:pPr>
                        <w:snapToGrid w:val="0"/>
                        <w:jc w:val="distribute"/>
                        <w:rPr>
                          <w:rFonts w:hint="eastAsia"/>
                          <w:b/>
                          <w:spacing w:val="12"/>
                          <w:w w:val="66"/>
                          <w:kern w:val="15"/>
                          <w:sz w:val="108"/>
                          <w:szCs w:val="108"/>
                        </w:rPr>
                      </w:pPr>
                      <w:bookmarkStart w:id="3" w:name="RedHead"/>
                      <w:r>
                        <w:rPr>
                          <w:rFonts w:hint="eastAsia" w:ascii="方正小标宋简体" w:hAnsi="Batang" w:eastAsia="方正小标宋简体" w:cs="Arial"/>
                          <w:b/>
                          <w:bCs/>
                          <w:color w:val="FF0000"/>
                          <w:spacing w:val="12"/>
                          <w:w w:val="66"/>
                          <w:kern w:val="15"/>
                          <w:sz w:val="108"/>
                          <w:szCs w:val="108"/>
                        </w:rPr>
                        <w:t xml:space="preserve">福建省科学技术厅文件         </w:t>
                      </w:r>
                      <w:bookmarkEnd w:id="3"/>
                    </w:p>
                  </w:txbxContent>
                </v:textbox>
              </v:shape>
            </w:pict>
          </mc:Fallback>
        </mc:AlternateContent>
      </w:r>
    </w:p>
    <w:p>
      <w:pPr>
        <w:snapToGrid w:val="0"/>
        <w:spacing w:line="600" w:lineRule="exact"/>
        <w:ind w:right="160"/>
        <w:jc w:val="right"/>
        <w:rPr>
          <w:rFonts w:hint="eastAsia" w:ascii="黑体" w:eastAsia="黑体"/>
          <w:b/>
          <w:szCs w:val="32"/>
        </w:rPr>
      </w:pPr>
    </w:p>
    <w:p>
      <w:pPr>
        <w:snapToGrid w:val="0"/>
        <w:spacing w:line="600" w:lineRule="exact"/>
        <w:ind w:right="160"/>
        <w:jc w:val="right"/>
        <w:rPr>
          <w:rFonts w:hint="eastAsia" w:ascii="黑体" w:eastAsia="黑体"/>
          <w:b/>
          <w:szCs w:val="32"/>
        </w:rPr>
      </w:pPr>
    </w:p>
    <w:p>
      <w:pPr>
        <w:snapToGrid w:val="0"/>
        <w:spacing w:line="600" w:lineRule="exact"/>
        <w:ind w:right="160"/>
        <w:jc w:val="right"/>
        <w:rPr>
          <w:rFonts w:hint="eastAsia" w:ascii="黑体" w:eastAsia="黑体"/>
          <w:b/>
          <w:szCs w:val="32"/>
        </w:rPr>
      </w:pPr>
    </w:p>
    <w:p>
      <w:pPr>
        <w:snapToGrid w:val="0"/>
        <w:spacing w:line="600" w:lineRule="exact"/>
        <w:ind w:right="160"/>
        <w:jc w:val="right"/>
        <w:rPr>
          <w:rFonts w:hint="eastAsia" w:ascii="黑体" w:eastAsia="黑体"/>
          <w:b/>
          <w:szCs w:val="32"/>
        </w:rPr>
      </w:pPr>
    </w:p>
    <w:p>
      <w:pPr>
        <w:snapToGrid w:val="0"/>
        <w:spacing w:line="600" w:lineRule="exact"/>
        <w:ind w:right="160"/>
        <w:jc w:val="right"/>
        <w:rPr>
          <w:rFonts w:hint="eastAsia" w:ascii="黑体" w:eastAsia="黑体"/>
          <w:b/>
          <w:szCs w:val="32"/>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1524000</wp:posOffset>
                </wp:positionH>
                <wp:positionV relativeFrom="paragraph">
                  <wp:posOffset>314325</wp:posOffset>
                </wp:positionV>
                <wp:extent cx="2235200" cy="38227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235200" cy="382270"/>
                        </a:xfrm>
                        <a:prstGeom prst="rect">
                          <a:avLst/>
                        </a:prstGeom>
                        <a:noFill/>
                        <a:ln>
                          <a:noFill/>
                        </a:ln>
                      </wps:spPr>
                      <wps:txbx>
                        <w:txbxContent>
                          <w:p>
                            <w:pPr>
                              <w:ind w:firstLine="480" w:firstLineChars="150"/>
                            </w:pPr>
                            <w:bookmarkStart w:id="4" w:name="REPE_dispatchnumber"/>
                            <w:r>
                              <w:rPr>
                                <w:rFonts w:hint="default" w:ascii="仿宋_GB2312" w:hAnsi="宋体"/>
                                <w:bCs/>
                                <w:lang w:val="en" w:eastAsia="zh-CN"/>
                              </w:rPr>
                              <w:t>闽科专〔2021〕3号</w:t>
                            </w:r>
                            <w:bookmarkEnd w:id="4"/>
                          </w:p>
                        </w:txbxContent>
                      </wps:txbx>
                      <wps:bodyPr lIns="0" tIns="45720" rIns="0" bIns="45720" upright="1"/>
                    </wps:wsp>
                  </a:graphicData>
                </a:graphic>
              </wp:anchor>
            </w:drawing>
          </mc:Choice>
          <mc:Fallback>
            <w:pict>
              <v:shape id="_x0000_s1026" o:spid="_x0000_s1026" o:spt="202" type="#_x0000_t202" style="position:absolute;left:0pt;margin-left:120pt;margin-top:24.75pt;height:30.1pt;width:176pt;z-index:251661312;mso-width-relative:page;mso-height-relative:page;" filled="f" stroked="f" coordsize="21600,21600" o:gfxdata="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nJuxnaAAAACgEAAA8AAAAAAAAAAQAgAAAAIgAAAGRycy9kb3ducmV2&#10;LnhtbFBLAQIUABQAAAAIAIdO4kBA62bKwQEAAHoDAAAOAAAAAAAAAAEAIAAAACkBAABkcnMvZTJv&#10;RG9jLnhtbFBLBQYAAAAABgAGAFkBAABcBQAAAAA=&#10;">
                <v:fill on="f" focussize="0,0"/>
                <v:stroke on="f"/>
                <v:imagedata o:title=""/>
                <o:lock v:ext="edit" aspectratio="f"/>
                <v:textbox inset="0mm,1.27mm,0mm,1.27mm">
                  <w:txbxContent>
                    <w:p>
                      <w:pPr>
                        <w:ind w:firstLine="480" w:firstLineChars="150"/>
                      </w:pPr>
                      <w:bookmarkStart w:id="4" w:name="REPE_dispatchnumber"/>
                      <w:r>
                        <w:rPr>
                          <w:rFonts w:hint="default" w:ascii="仿宋_GB2312" w:hAnsi="宋体"/>
                          <w:bCs/>
                          <w:lang w:val="en" w:eastAsia="zh-CN"/>
                        </w:rPr>
                        <w:t>闽科专〔2021〕3号</w:t>
                      </w:r>
                      <w:bookmarkEnd w:id="4"/>
                    </w:p>
                  </w:txbxContent>
                </v:textbox>
              </v:shape>
            </w:pict>
          </mc:Fallback>
        </mc:AlternateContent>
      </w:r>
    </w:p>
    <w:p>
      <w:pPr>
        <w:snapToGrid w:val="0"/>
        <w:spacing w:line="600" w:lineRule="exact"/>
        <w:ind w:right="160"/>
        <w:jc w:val="right"/>
        <w:rPr>
          <w:rFonts w:hint="eastAsia" w:ascii="黑体" w:eastAsia="黑体"/>
          <w:b/>
          <w:szCs w:val="32"/>
          <w:lang w:eastAsia="zh-CN"/>
        </w:rPr>
      </w:pPr>
    </w:p>
    <w:p>
      <w:pPr>
        <w:snapToGrid w:val="0"/>
        <w:spacing w:line="600" w:lineRule="exact"/>
        <w:ind w:right="160"/>
        <w:jc w:val="right"/>
        <w:rPr>
          <w:rFonts w:hint="eastAsia" w:ascii="黑体" w:eastAsia="黑体"/>
          <w:b/>
          <w:szCs w:val="32"/>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287655</wp:posOffset>
                </wp:positionV>
                <wp:extent cx="5600700" cy="0"/>
                <wp:effectExtent l="0" t="15875" r="0" b="22225"/>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solidFill>
                          <a:srgbClr val="FF0000"/>
                        </a:solidFill>
                        <a:ln w="317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2.65pt;height:0pt;width:441pt;z-index:251660288;mso-width-relative:page;mso-height-relative:page;" fillcolor="#FF0000" filled="t" stroked="t" coordsize="21600,21600" o:gfxdata="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7u6wdMAAAAGAQAADwAAAAAAAAABACAAAAAiAAAAZHJzL2Rvd25yZXYueG1s&#10;UEsBAhQAFAAAAAgAh07iQMyzRQn9AQAAGQQAAA4AAAAAAAAAAQAgAAAAIgEAAGRycy9lMm9Eb2Mu&#10;eG1sUEsFBgAAAAAGAAYAWQEAAJEFAAAAAA==&#10;">
                <v:fill on="t" focussize="0,0"/>
                <v:stroke weight="2.5pt" color="#FF0000" joinstyle="round"/>
                <v:imagedata o:title=""/>
                <o:lock v:ext="edit" aspectratio="f"/>
              </v:line>
            </w:pict>
          </mc:Fallback>
        </mc:AlternateContent>
      </w:r>
    </w:p>
    <w:p>
      <w:pPr>
        <w:snapToGrid w:val="0"/>
        <w:spacing w:line="600" w:lineRule="exact"/>
        <w:ind w:right="0"/>
        <w:jc w:val="center"/>
        <w:rPr>
          <w:rFonts w:hint="eastAsia" w:ascii="方正小标宋_GBK" w:hAnsi="方正小标宋_GBK" w:eastAsia="方正小标宋_GBK" w:cs="方正小标宋_GBK"/>
          <w:b w:val="0"/>
          <w:bCs/>
          <w:sz w:val="44"/>
          <w:szCs w:val="44"/>
          <w:lang w:eastAsia="zh-CN"/>
        </w:rPr>
      </w:pPr>
      <w:bookmarkStart w:id="0" w:name="dispatchname"/>
      <w:r>
        <w:rPr>
          <w:rFonts w:hint="eastAsia" w:ascii="方正小标宋_GBK" w:hAnsi="方正小标宋_GBK" w:eastAsia="方正小标宋_GBK" w:cs="方正小标宋_GBK"/>
          <w:b w:val="0"/>
          <w:bCs/>
          <w:sz w:val="44"/>
          <w:szCs w:val="44"/>
          <w:lang w:eastAsia="zh-CN"/>
        </w:rPr>
        <w:t>福建省科学技术厅关于举办</w:t>
      </w:r>
    </w:p>
    <w:p>
      <w:pPr>
        <w:snapToGrid w:val="0"/>
        <w:spacing w:line="600" w:lineRule="exact"/>
        <w:ind w:right="0"/>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福建省第五届科普讲解大赛的通知</w:t>
      </w:r>
      <w:bookmarkEnd w:id="0"/>
    </w:p>
    <w:p>
      <w:pPr>
        <w:snapToGrid w:val="0"/>
        <w:spacing w:line="600" w:lineRule="exact"/>
        <w:ind w:right="1280"/>
        <w:jc w:val="center"/>
        <w:rPr>
          <w:rFonts w:hint="eastAsia" w:ascii="宋体" w:hAnsi="宋体" w:eastAsia="宋体"/>
          <w:b/>
          <w:sz w:val="36"/>
          <w:szCs w:val="36"/>
          <w:lang w:eastAsia="zh-CN"/>
        </w:rPr>
      </w:pPr>
    </w:p>
    <w:p>
      <w:pPr>
        <w:spacing w:line="600" w:lineRule="exact"/>
        <w:rPr>
          <w:rFonts w:hint="eastAsia" w:ascii="仿宋_GB2312" w:hAnsi="Dotum"/>
          <w:sz w:val="18"/>
          <w:szCs w:val="18"/>
        </w:rPr>
      </w:pPr>
      <w:bookmarkStart w:id="1" w:name="maindelivery"/>
      <w:bookmarkStart w:id="6" w:name="_GoBack"/>
      <w:r>
        <w:rPr>
          <w:rFonts w:hint="eastAsia" w:ascii="仿宋_GB2312" w:hAnsi="Dotum"/>
          <w:bCs/>
          <w:lang w:eastAsia="zh-CN"/>
        </w:rPr>
        <w:t>各有关单位</w:t>
      </w:r>
      <w:bookmarkEnd w:id="1"/>
      <w:r>
        <w:rPr>
          <w:rFonts w:hint="eastAsia" w:ascii="仿宋_GB2312" w:hAnsi="Dotum"/>
          <w:bCs/>
        </w:rPr>
        <w:t>：</w:t>
      </w:r>
    </w:p>
    <w:p>
      <w:pPr>
        <w:spacing w:beforeLines="0" w:line="540" w:lineRule="exact"/>
        <w:ind w:firstLine="640" w:firstLineChars="200"/>
        <w:rPr>
          <w:rFonts w:hint="eastAsia" w:ascii="仿宋_GB2312" w:hAnsi="仿宋" w:eastAsia="仿宋_GB2312"/>
          <w:sz w:val="32"/>
          <w:szCs w:val="32"/>
        </w:rPr>
      </w:pPr>
      <w:bookmarkStart w:id="2" w:name="MainBody"/>
      <w:r>
        <w:rPr>
          <w:rFonts w:hint="eastAsia" w:ascii="仿宋_GB2312" w:hAnsi="仿宋" w:eastAsia="仿宋_GB2312"/>
          <w:sz w:val="32"/>
          <w:szCs w:val="32"/>
        </w:rPr>
        <w:t>为认真贯彻习近平新时代中国特色社会主义思想</w:t>
      </w:r>
      <w:r>
        <w:rPr>
          <w:rFonts w:hint="eastAsia" w:ascii="仿宋_GB2312" w:hAnsi="仿宋" w:eastAsia="仿宋_GB2312"/>
          <w:sz w:val="32"/>
          <w:szCs w:val="32"/>
          <w:lang w:eastAsia="zh-CN"/>
        </w:rPr>
        <w:t>以</w:t>
      </w:r>
      <w:r>
        <w:rPr>
          <w:rFonts w:hint="eastAsia" w:ascii="仿宋_GB2312" w:hAnsi="仿宋" w:eastAsia="仿宋_GB2312"/>
          <w:sz w:val="32"/>
          <w:szCs w:val="32"/>
        </w:rPr>
        <w:t>及习近平总书记来闽考察</w:t>
      </w:r>
      <w:r>
        <w:rPr>
          <w:rFonts w:hint="eastAsia" w:ascii="仿宋_GB2312" w:hAnsi="仿宋" w:eastAsia="仿宋_GB2312"/>
          <w:sz w:val="32"/>
          <w:szCs w:val="32"/>
          <w:lang w:eastAsia="zh-CN"/>
        </w:rPr>
        <w:t>时的</w:t>
      </w:r>
      <w:r>
        <w:rPr>
          <w:rFonts w:hint="eastAsia" w:ascii="仿宋_GB2312" w:hAnsi="仿宋" w:eastAsia="仿宋_GB2312"/>
          <w:sz w:val="32"/>
          <w:szCs w:val="32"/>
        </w:rPr>
        <w:t>重要讲话精神，全面实施创新驱动发展战略，普及科学知识，弘扬科学精神，培养科普人才</w:t>
      </w:r>
      <w:r>
        <w:rPr>
          <w:rFonts w:hint="eastAsia" w:ascii="仿宋_GB2312" w:hAnsi="仿宋" w:eastAsia="仿宋_GB2312"/>
          <w:sz w:val="32"/>
          <w:szCs w:val="32"/>
          <w:lang w:eastAsia="zh-CN"/>
        </w:rPr>
        <w:t>，</w:t>
      </w:r>
      <w:r>
        <w:rPr>
          <w:rFonts w:hint="eastAsia" w:ascii="仿宋_GB2312" w:hAnsi="仿宋" w:eastAsia="仿宋_GB2312"/>
          <w:sz w:val="32"/>
          <w:szCs w:val="32"/>
        </w:rPr>
        <w:t>提高全民科学素质。福建省科学技术厅、中共福建省委宣传部、福建省科学技术协会</w:t>
      </w:r>
      <w:r>
        <w:rPr>
          <w:rFonts w:hint="eastAsia" w:ascii="仿宋_GB2312" w:hAnsi="仿宋" w:eastAsia="仿宋_GB2312"/>
          <w:sz w:val="32"/>
          <w:szCs w:val="32"/>
          <w:lang w:eastAsia="zh-CN"/>
        </w:rPr>
        <w:t>共同</w:t>
      </w:r>
      <w:r>
        <w:rPr>
          <w:rFonts w:hint="eastAsia" w:ascii="仿宋_GB2312" w:hAnsi="仿宋" w:eastAsia="仿宋_GB2312"/>
          <w:sz w:val="32"/>
          <w:szCs w:val="32"/>
        </w:rPr>
        <w:t>主办福建省第五届科普讲解大赛，</w:t>
      </w:r>
      <w:r>
        <w:rPr>
          <w:rFonts w:hint="eastAsia" w:ascii="仿宋_GB2312" w:hAnsi="仿宋" w:eastAsia="仿宋_GB2312" w:cs="宋体"/>
          <w:sz w:val="32"/>
          <w:szCs w:val="32"/>
        </w:rPr>
        <w:t>并</w:t>
      </w:r>
      <w:r>
        <w:rPr>
          <w:rFonts w:hint="eastAsia" w:ascii="仿宋_GB2312" w:hAnsi="仿宋" w:eastAsia="仿宋_GB2312"/>
          <w:sz w:val="32"/>
          <w:szCs w:val="32"/>
        </w:rPr>
        <w:t>选拔优秀选手参加2021年全国科普讲解大赛。现将有关事项通知如下。</w:t>
      </w:r>
    </w:p>
    <w:p>
      <w:pPr>
        <w:spacing w:beforeLines="0" w:line="540" w:lineRule="exact"/>
        <w:rPr>
          <w:rFonts w:hint="eastAsia" w:ascii="黑体" w:hAnsi="黑体" w:eastAsia="黑体"/>
          <w:sz w:val="32"/>
          <w:szCs w:val="32"/>
        </w:rPr>
      </w:pPr>
      <w:r>
        <w:rPr>
          <w:rFonts w:hint="eastAsia" w:ascii="仿宋_GB2312" w:hAnsi="仿宋" w:eastAsia="仿宋_GB2312"/>
          <w:sz w:val="32"/>
          <w:szCs w:val="32"/>
        </w:rPr>
        <w:t xml:space="preserve">   </w:t>
      </w:r>
      <w:r>
        <w:rPr>
          <w:rFonts w:hint="eastAsia" w:ascii="黑体" w:hAnsi="黑体" w:eastAsia="黑体"/>
          <w:sz w:val="32"/>
          <w:szCs w:val="32"/>
        </w:rPr>
        <w:t xml:space="preserve"> 一、活动组织</w:t>
      </w:r>
    </w:p>
    <w:p>
      <w:pPr>
        <w:spacing w:beforeLines="0" w:line="540" w:lineRule="exact"/>
        <w:rPr>
          <w:rFonts w:hint="eastAsia" w:ascii="仿宋_GB2312" w:hAnsi="仿宋" w:eastAsia="仿宋_GB2312"/>
          <w:sz w:val="32"/>
          <w:szCs w:val="32"/>
        </w:rPr>
      </w:pPr>
      <w:r>
        <w:rPr>
          <w:rFonts w:hint="eastAsia" w:ascii="仿宋_GB2312" w:hAnsi="仿宋" w:eastAsia="仿宋_GB2312"/>
          <w:sz w:val="32"/>
          <w:szCs w:val="32"/>
        </w:rPr>
        <w:t xml:space="preserve">    主办单位：福建省科学技术厅、中共福建省委宣传部、福建省科学技术协会</w:t>
      </w:r>
    </w:p>
    <w:p>
      <w:pPr>
        <w:spacing w:beforeLines="0"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承办单位：福建省外国(海外)专家局、福建省对外科技交流中心</w:t>
      </w:r>
    </w:p>
    <w:p>
      <w:pPr>
        <w:numPr>
          <w:ilvl w:val="0"/>
          <w:numId w:val="1"/>
        </w:numPr>
        <w:spacing w:beforeLines="0" w:line="54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参</w:t>
      </w:r>
      <w:r>
        <w:rPr>
          <w:rFonts w:hint="eastAsia" w:ascii="黑体" w:hAnsi="黑体" w:eastAsia="黑体" w:cs="黑体"/>
          <w:sz w:val="32"/>
          <w:szCs w:val="32"/>
          <w:lang w:eastAsia="zh-CN"/>
        </w:rPr>
        <w:t>赛</w:t>
      </w:r>
      <w:r>
        <w:rPr>
          <w:rFonts w:hint="eastAsia" w:ascii="黑体" w:hAnsi="黑体" w:eastAsia="黑体" w:cs="黑体"/>
          <w:sz w:val="32"/>
          <w:szCs w:val="32"/>
          <w:lang w:eastAsia="zh-CN"/>
        </w:rPr>
        <w:t>对象</w:t>
      </w:r>
    </w:p>
    <w:p>
      <w:pPr>
        <w:spacing w:beforeLines="0" w:line="54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参赛选手</w:t>
      </w:r>
      <w:r>
        <w:rPr>
          <w:rFonts w:hint="eastAsia" w:ascii="仿宋_GB2312" w:hAnsi="仿宋" w:eastAsia="仿宋_GB2312"/>
          <w:sz w:val="32"/>
          <w:szCs w:val="32"/>
          <w:lang w:eastAsia="zh-CN"/>
        </w:rPr>
        <w:t>为我省专职和兼职</w:t>
      </w:r>
      <w:r>
        <w:rPr>
          <w:rFonts w:hint="eastAsia" w:ascii="仿宋_GB2312" w:hAnsi="仿宋" w:eastAsia="仿宋_GB2312"/>
          <w:sz w:val="32"/>
          <w:szCs w:val="32"/>
        </w:rPr>
        <w:t>科普工作者</w:t>
      </w:r>
      <w:r>
        <w:rPr>
          <w:rFonts w:hint="eastAsia" w:ascii="仿宋_GB2312" w:hAnsi="仿宋" w:eastAsia="仿宋_GB2312"/>
          <w:sz w:val="32"/>
          <w:szCs w:val="32"/>
          <w:lang w:eastAsia="zh-CN"/>
        </w:rPr>
        <w:t>。</w:t>
      </w:r>
      <w:r>
        <w:rPr>
          <w:rFonts w:hint="eastAsia" w:ascii="仿宋_GB2312" w:hAnsi="仿宋" w:eastAsia="仿宋_GB2312"/>
          <w:sz w:val="32"/>
          <w:szCs w:val="32"/>
        </w:rPr>
        <w:t>同时欢迎其他科学传播爱好者（职业不限、年龄16周岁以上）参赛。</w:t>
      </w:r>
    </w:p>
    <w:p>
      <w:pPr>
        <w:spacing w:beforeLines="0"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w:t>
      </w:r>
      <w:r>
        <w:rPr>
          <w:rFonts w:hint="eastAsia" w:ascii="黑体" w:hAnsi="黑体" w:eastAsia="黑体" w:cs="黑体"/>
          <w:sz w:val="32"/>
          <w:szCs w:val="32"/>
          <w:lang w:eastAsia="zh-CN"/>
        </w:rPr>
        <w:t>预</w:t>
      </w:r>
      <w:r>
        <w:rPr>
          <w:rFonts w:hint="eastAsia" w:ascii="黑体" w:hAnsi="黑体" w:eastAsia="黑体" w:cs="黑体"/>
          <w:sz w:val="32"/>
          <w:szCs w:val="32"/>
        </w:rPr>
        <w:t>赛安排</w:t>
      </w:r>
    </w:p>
    <w:p>
      <w:pPr>
        <w:spacing w:beforeLines="0" w:line="540" w:lineRule="exact"/>
        <w:ind w:firstLine="640" w:firstLineChars="200"/>
        <w:rPr>
          <w:rFonts w:ascii="仿宋_GB2312" w:hAnsi="仿宋" w:eastAsia="仿宋_GB2312"/>
          <w:bCs/>
          <w:color w:val="000000"/>
          <w:sz w:val="32"/>
        </w:rPr>
      </w:pPr>
      <w:r>
        <w:rPr>
          <w:rFonts w:hint="eastAsia" w:ascii="仿宋_GB2312" w:hAnsi="仿宋" w:eastAsia="仿宋_GB2312"/>
          <w:bCs/>
          <w:color w:val="000000"/>
          <w:sz w:val="32"/>
        </w:rPr>
        <w:t>时间：2021年5月1</w:t>
      </w:r>
      <w:r>
        <w:rPr>
          <w:rFonts w:hint="eastAsia" w:ascii="仿宋_GB2312" w:hAnsi="仿宋" w:eastAsia="仿宋_GB2312"/>
          <w:bCs/>
          <w:color w:val="000000"/>
          <w:sz w:val="32"/>
          <w:lang w:val="en-US" w:eastAsia="zh-CN"/>
        </w:rPr>
        <w:t>5</w:t>
      </w:r>
      <w:r>
        <w:rPr>
          <w:rFonts w:hint="eastAsia" w:ascii="仿宋_GB2312" w:hAnsi="仿宋" w:eastAsia="仿宋_GB2312"/>
          <w:bCs/>
          <w:color w:val="000000"/>
          <w:sz w:val="32"/>
        </w:rPr>
        <w:t>日前</w:t>
      </w:r>
    </w:p>
    <w:p>
      <w:pPr>
        <w:spacing w:beforeLines="0" w:line="540" w:lineRule="exact"/>
        <w:ind w:firstLine="640" w:firstLineChars="200"/>
        <w:rPr>
          <w:rFonts w:hint="eastAsia" w:ascii="仿宋_GB2312" w:hAnsi="仿宋" w:eastAsia="仿宋_GB2312"/>
          <w:bCs/>
          <w:color w:val="000000"/>
          <w:sz w:val="32"/>
        </w:rPr>
      </w:pPr>
      <w:r>
        <w:rPr>
          <w:rFonts w:hint="eastAsia" w:ascii="仿宋_GB2312" w:hAnsi="仿宋" w:eastAsia="仿宋_GB2312"/>
          <w:bCs/>
          <w:color w:val="000000"/>
          <w:sz w:val="32"/>
        </w:rPr>
        <w:t>内容：省直各部门、高校、省级科研院所负责组织本</w:t>
      </w:r>
      <w:r>
        <w:rPr>
          <w:rFonts w:hint="eastAsia" w:ascii="仿宋_GB2312" w:hAnsi="仿宋" w:eastAsia="仿宋_GB2312"/>
          <w:bCs/>
          <w:color w:val="000000"/>
          <w:sz w:val="32"/>
          <w:lang w:eastAsia="zh-CN"/>
        </w:rPr>
        <w:t>系统</w:t>
      </w:r>
      <w:r>
        <w:rPr>
          <w:rFonts w:hint="eastAsia" w:ascii="仿宋_GB2312" w:hAnsi="仿宋" w:eastAsia="仿宋_GB2312"/>
          <w:bCs/>
          <w:color w:val="000000"/>
          <w:sz w:val="32"/>
        </w:rPr>
        <w:t>、本单位的预赛工作。各设区市</w:t>
      </w:r>
      <w:r>
        <w:rPr>
          <w:rFonts w:hint="eastAsia" w:ascii="仿宋_GB2312" w:hAnsi="仿宋" w:eastAsia="仿宋_GB2312"/>
          <w:bCs/>
          <w:color w:val="000000"/>
          <w:sz w:val="32"/>
          <w:lang w:eastAsia="zh-CN"/>
        </w:rPr>
        <w:t>、平潭综合实验区</w:t>
      </w:r>
      <w:r>
        <w:rPr>
          <w:rFonts w:hint="eastAsia" w:ascii="仿宋_GB2312" w:hAnsi="仿宋" w:eastAsia="仿宋_GB2312"/>
          <w:bCs/>
          <w:color w:val="000000"/>
          <w:sz w:val="32"/>
        </w:rPr>
        <w:t>科技主管部门负责组织本辖区内的预赛。</w:t>
      </w:r>
      <w:r>
        <w:rPr>
          <w:rFonts w:hint="eastAsia" w:ascii="仿宋_GB2312" w:hAnsi="仿宋" w:eastAsia="仿宋_GB2312"/>
          <w:bCs/>
          <w:color w:val="000000"/>
          <w:sz w:val="32"/>
          <w:lang w:eastAsia="zh-CN"/>
        </w:rPr>
        <w:t>参赛选手需参加所在地区或系统（单位）组织的预赛，经相关主管部门推荐方可参加决赛。</w:t>
      </w:r>
    </w:p>
    <w:p>
      <w:pPr>
        <w:spacing w:beforeLines="0" w:line="540" w:lineRule="exact"/>
        <w:ind w:firstLine="640" w:firstLineChars="200"/>
        <w:rPr>
          <w:rFonts w:ascii="仿宋_GB2312" w:hAnsi="仿宋" w:eastAsia="仿宋_GB2312"/>
          <w:b w:val="0"/>
          <w:bCs w:val="0"/>
          <w:color w:val="000000"/>
          <w:sz w:val="32"/>
        </w:rPr>
      </w:pPr>
      <w:r>
        <w:rPr>
          <w:rFonts w:hint="eastAsia" w:ascii="黑体" w:hAnsi="黑体" w:eastAsia="黑体" w:cs="黑体"/>
          <w:b w:val="0"/>
          <w:bCs w:val="0"/>
          <w:color w:val="000000"/>
          <w:sz w:val="32"/>
          <w:lang w:eastAsia="zh-CN"/>
        </w:rPr>
        <w:t>四、决赛安排</w:t>
      </w:r>
      <w:r>
        <w:rPr>
          <w:rFonts w:hint="eastAsia" w:ascii="黑体" w:hAnsi="黑体" w:eastAsia="黑体" w:cs="黑体"/>
          <w:b w:val="0"/>
          <w:bCs w:val="0"/>
          <w:color w:val="000000"/>
          <w:sz w:val="32"/>
          <w:lang w:eastAsia="zh-CN"/>
        </w:rPr>
        <w:t>及要求</w:t>
      </w:r>
    </w:p>
    <w:p>
      <w:pPr>
        <w:spacing w:beforeLines="0" w:line="540" w:lineRule="exact"/>
        <w:ind w:firstLine="640" w:firstLineChars="200"/>
        <w:rPr>
          <w:rFonts w:hint="eastAsia" w:ascii="楷体" w:hAnsi="楷体" w:eastAsia="楷体" w:cs="楷体"/>
          <w:bCs/>
          <w:color w:val="000000"/>
          <w:sz w:val="32"/>
        </w:rPr>
      </w:pPr>
      <w:r>
        <w:rPr>
          <w:rFonts w:hint="eastAsia" w:ascii="楷体" w:hAnsi="楷体" w:eastAsia="楷体" w:cs="楷体"/>
          <w:bCs/>
          <w:color w:val="000000"/>
          <w:sz w:val="32"/>
          <w:lang w:eastAsia="zh-CN"/>
        </w:rPr>
        <w:t>（一）</w:t>
      </w:r>
      <w:r>
        <w:rPr>
          <w:rFonts w:hint="eastAsia" w:ascii="楷体" w:hAnsi="楷体" w:eastAsia="楷体" w:cs="楷体"/>
          <w:bCs/>
          <w:color w:val="000000"/>
          <w:sz w:val="32"/>
        </w:rPr>
        <w:t>时间</w:t>
      </w:r>
      <w:r>
        <w:rPr>
          <w:rFonts w:hint="eastAsia" w:ascii="楷体" w:hAnsi="楷体" w:eastAsia="楷体" w:cs="楷体"/>
          <w:bCs/>
          <w:color w:val="000000"/>
          <w:sz w:val="32"/>
          <w:lang w:eastAsia="zh-CN"/>
        </w:rPr>
        <w:t>和地点</w:t>
      </w:r>
    </w:p>
    <w:p>
      <w:pPr>
        <w:spacing w:beforeLines="0" w:line="540" w:lineRule="exact"/>
        <w:ind w:firstLine="640" w:firstLineChars="200"/>
        <w:rPr>
          <w:rFonts w:hint="eastAsia" w:ascii="仿宋_GB2312" w:hAnsi="仿宋" w:eastAsia="仿宋_GB2312"/>
          <w:bCs/>
          <w:color w:val="000000"/>
          <w:sz w:val="32"/>
        </w:rPr>
      </w:pPr>
      <w:r>
        <w:rPr>
          <w:rFonts w:hint="eastAsia" w:ascii="仿宋_GB2312" w:hAnsi="仿宋" w:eastAsia="仿宋_GB2312"/>
          <w:bCs/>
          <w:color w:val="000000"/>
          <w:sz w:val="32"/>
          <w:lang w:val="en-US" w:eastAsia="zh-CN"/>
        </w:rPr>
        <w:t>1.时间：</w:t>
      </w:r>
      <w:r>
        <w:rPr>
          <w:rFonts w:hint="eastAsia" w:ascii="仿宋_GB2312" w:hAnsi="仿宋" w:eastAsia="仿宋_GB2312"/>
          <w:bCs/>
          <w:color w:val="000000"/>
          <w:sz w:val="32"/>
        </w:rPr>
        <w:t>拟定2021年全省科技活动周期间</w:t>
      </w:r>
    </w:p>
    <w:p>
      <w:pPr>
        <w:spacing w:beforeLines="0" w:line="540" w:lineRule="exact"/>
        <w:ind w:firstLine="645"/>
        <w:rPr>
          <w:rFonts w:ascii="仿宋_GB2312" w:hAnsi="仿宋" w:eastAsia="仿宋_GB2312"/>
          <w:sz w:val="32"/>
          <w:szCs w:val="32"/>
        </w:rPr>
      </w:pPr>
      <w:r>
        <w:rPr>
          <w:rFonts w:hint="eastAsia" w:ascii="仿宋_GB2312" w:hAnsi="仿宋" w:eastAsia="仿宋_GB2312"/>
          <w:bCs/>
          <w:color w:val="000000"/>
          <w:sz w:val="32"/>
          <w:lang w:val="en-US" w:eastAsia="zh-CN"/>
        </w:rPr>
        <w:t>2.</w:t>
      </w:r>
      <w:r>
        <w:rPr>
          <w:rFonts w:hint="eastAsia" w:ascii="仿宋_GB2312" w:hAnsi="仿宋" w:eastAsia="仿宋_GB2312"/>
          <w:bCs/>
          <w:color w:val="000000"/>
          <w:sz w:val="32"/>
        </w:rPr>
        <w:t>地点：福州（</w:t>
      </w:r>
      <w:r>
        <w:rPr>
          <w:rFonts w:hint="eastAsia" w:ascii="仿宋_GB2312" w:hAnsi="仿宋" w:eastAsia="仿宋_GB2312"/>
          <w:sz w:val="32"/>
          <w:szCs w:val="32"/>
        </w:rPr>
        <w:t>具体</w:t>
      </w:r>
      <w:r>
        <w:rPr>
          <w:rFonts w:hint="eastAsia" w:ascii="仿宋_GB2312" w:hAnsi="仿宋" w:eastAsia="仿宋_GB2312"/>
          <w:sz w:val="32"/>
          <w:szCs w:val="32"/>
          <w:lang w:eastAsia="zh-CN"/>
        </w:rPr>
        <w:t>地点</w:t>
      </w:r>
      <w:r>
        <w:rPr>
          <w:rFonts w:hint="eastAsia" w:ascii="仿宋_GB2312" w:hAnsi="仿宋" w:eastAsia="仿宋_GB2312"/>
          <w:sz w:val="32"/>
          <w:szCs w:val="32"/>
        </w:rPr>
        <w:t>另行通知</w:t>
      </w:r>
      <w:r>
        <w:rPr>
          <w:rFonts w:hint="eastAsia" w:ascii="仿宋_GB2312" w:hAnsi="仿宋" w:eastAsia="仿宋_GB2312"/>
          <w:bCs/>
          <w:color w:val="000000"/>
          <w:sz w:val="32"/>
        </w:rPr>
        <w:t>）</w:t>
      </w:r>
    </w:p>
    <w:p>
      <w:pPr>
        <w:spacing w:beforeLines="0" w:line="540" w:lineRule="exact"/>
        <w:ind w:firstLine="640" w:firstLineChars="200"/>
        <w:rPr>
          <w:rFonts w:hint="eastAsia" w:ascii="仿宋_GB2312" w:hAnsi="仿宋_GB2312" w:eastAsia="仿宋_GB2312" w:cs="仿宋_GB2312"/>
          <w:sz w:val="32"/>
          <w:szCs w:val="32"/>
        </w:rPr>
      </w:pPr>
      <w:r>
        <w:rPr>
          <w:rFonts w:hint="eastAsia" w:ascii="楷体" w:hAnsi="楷体" w:eastAsia="楷体" w:cs="楷体"/>
          <w:b w:val="0"/>
          <w:bCs/>
          <w:sz w:val="32"/>
          <w:szCs w:val="32"/>
        </w:rPr>
        <w:t>（二）报名要求及时间</w:t>
      </w:r>
      <w:r>
        <w:rPr>
          <w:rFonts w:hint="eastAsia" w:ascii="楷体" w:hAnsi="楷体" w:eastAsia="楷体" w:cs="楷体"/>
          <w:b w:val="0"/>
          <w:bCs/>
          <w:sz w:val="32"/>
          <w:szCs w:val="32"/>
          <w:lang w:eastAsia="zh-CN"/>
        </w:rPr>
        <w:t>：</w:t>
      </w:r>
      <w:r>
        <w:rPr>
          <w:rFonts w:hint="eastAsia" w:ascii="仿宋_GB2312" w:hAnsi="仿宋_GB2312" w:eastAsia="仿宋_GB2312" w:cs="仿宋_GB2312"/>
          <w:b w:val="0"/>
          <w:bCs/>
          <w:sz w:val="32"/>
          <w:szCs w:val="32"/>
        </w:rPr>
        <w:t>参加决赛</w:t>
      </w:r>
      <w:r>
        <w:rPr>
          <w:rFonts w:hint="eastAsia" w:ascii="仿宋_GB2312" w:hAnsi="仿宋_GB2312" w:eastAsia="仿宋_GB2312" w:cs="仿宋_GB2312"/>
          <w:sz w:val="32"/>
          <w:szCs w:val="32"/>
        </w:rPr>
        <w:t>选手填写《2021年福建省第五届科普讲解大赛报名表》，由推荐单位于</w:t>
      </w:r>
      <w:r>
        <w:rPr>
          <w:rFonts w:hint="eastAsia" w:ascii="仿宋_GB2312" w:hAnsi="仿宋_GB2312" w:eastAsia="仿宋_GB2312" w:cs="仿宋_GB2312"/>
          <w:b/>
          <w:bCs/>
          <w:sz w:val="32"/>
          <w:szCs w:val="32"/>
        </w:rPr>
        <w:t>5月1</w:t>
      </w: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日前</w:t>
      </w:r>
      <w:r>
        <w:rPr>
          <w:rFonts w:hint="eastAsia" w:ascii="仿宋_GB2312" w:hAnsi="仿宋_GB2312" w:eastAsia="仿宋_GB2312" w:cs="仿宋_GB2312"/>
          <w:sz w:val="32"/>
          <w:szCs w:val="32"/>
        </w:rPr>
        <w:t>提交纸质及电子版报名材料</w:t>
      </w:r>
      <w:r>
        <w:rPr>
          <w:rFonts w:hint="eastAsia" w:ascii="仿宋_GB2312" w:hAnsi="仿宋_GB2312" w:eastAsia="仿宋_GB2312" w:cs="仿宋_GB2312"/>
          <w:sz w:val="32"/>
          <w:szCs w:val="32"/>
          <w:lang w:eastAsia="zh-CN"/>
        </w:rPr>
        <w:t>（包含讲解内容</w:t>
      </w:r>
      <w:r>
        <w:rPr>
          <w:rFonts w:hint="eastAsia" w:ascii="仿宋_GB2312" w:hAnsi="仿宋_GB2312" w:eastAsia="仿宋_GB2312" w:cs="仿宋_GB2312"/>
          <w:sz w:val="32"/>
          <w:szCs w:val="32"/>
          <w:lang w:val="en-US" w:eastAsia="zh-CN"/>
        </w:rPr>
        <w:t>PPT</w:t>
      </w:r>
      <w:r>
        <w:rPr>
          <w:rFonts w:hint="eastAsia" w:ascii="仿宋_GB2312" w:hAnsi="仿宋_GB2312" w:eastAsia="仿宋_GB2312" w:cs="仿宋_GB2312"/>
          <w:sz w:val="32"/>
          <w:szCs w:val="32"/>
          <w:lang w:eastAsia="zh-CN"/>
        </w:rPr>
        <w:t>）。</w:t>
      </w:r>
    </w:p>
    <w:p>
      <w:pPr>
        <w:spacing w:beforeLines="0" w:line="540" w:lineRule="exact"/>
        <w:ind w:firstLine="645"/>
        <w:rPr>
          <w:rFonts w:hint="eastAsia" w:ascii="仿宋_GB2312" w:hAnsi="仿宋" w:eastAsia="仿宋_GB2312"/>
          <w:sz w:val="32"/>
          <w:szCs w:val="32"/>
        </w:rPr>
      </w:pPr>
      <w:r>
        <w:rPr>
          <w:rFonts w:hint="eastAsia" w:ascii="楷体" w:hAnsi="楷体" w:eastAsia="楷体" w:cs="楷体"/>
          <w:sz w:val="32"/>
          <w:szCs w:val="32"/>
        </w:rPr>
        <w:t>（三）</w:t>
      </w:r>
      <w:r>
        <w:rPr>
          <w:rFonts w:hint="eastAsia" w:ascii="楷体" w:hAnsi="楷体" w:eastAsia="楷体" w:cs="楷体"/>
          <w:sz w:val="32"/>
          <w:szCs w:val="32"/>
          <w:lang w:eastAsia="zh-CN"/>
        </w:rPr>
        <w:t>参赛名额：</w:t>
      </w:r>
      <w:r>
        <w:rPr>
          <w:rFonts w:hint="eastAsia" w:ascii="仿宋_GB2312" w:hAnsi="仿宋" w:eastAsia="仿宋_GB2312"/>
          <w:sz w:val="32"/>
          <w:szCs w:val="32"/>
        </w:rPr>
        <w:t>省直各部门、高校、省级科研院所和设区市科技主管部门各推荐1名参赛选手，其中福建医科大学、福建中医药大学推荐</w:t>
      </w:r>
      <w:r>
        <w:rPr>
          <w:rFonts w:hint="eastAsia" w:ascii="仿宋_GB2312" w:hAnsi="仿宋" w:eastAsia="仿宋_GB2312"/>
          <w:sz w:val="32"/>
          <w:szCs w:val="32"/>
          <w:lang w:eastAsia="zh-CN"/>
        </w:rPr>
        <w:t>可</w:t>
      </w:r>
      <w:r>
        <w:rPr>
          <w:rFonts w:hint="eastAsia" w:ascii="仿宋_GB2312" w:hAnsi="仿宋" w:eastAsia="仿宋_GB2312"/>
          <w:sz w:val="32"/>
          <w:szCs w:val="32"/>
        </w:rPr>
        <w:t>2名</w:t>
      </w:r>
      <w:r>
        <w:rPr>
          <w:rFonts w:hint="eastAsia" w:ascii="仿宋_GB2312" w:hAnsi="仿宋" w:eastAsia="仿宋_GB2312"/>
          <w:sz w:val="32"/>
          <w:szCs w:val="32"/>
          <w:lang w:eastAsia="zh-CN"/>
        </w:rPr>
        <w:t>参赛</w:t>
      </w:r>
      <w:r>
        <w:rPr>
          <w:rFonts w:hint="eastAsia" w:ascii="仿宋_GB2312" w:hAnsi="仿宋" w:eastAsia="仿宋_GB2312"/>
          <w:sz w:val="32"/>
          <w:szCs w:val="32"/>
        </w:rPr>
        <w:t>选手</w:t>
      </w:r>
      <w:r>
        <w:rPr>
          <w:rFonts w:hint="eastAsia" w:ascii="仿宋_GB2312" w:hAnsi="仿宋" w:eastAsia="仿宋_GB2312"/>
          <w:sz w:val="32"/>
          <w:szCs w:val="32"/>
          <w:lang w:val="en-US" w:eastAsia="zh-CN"/>
        </w:rPr>
        <w:t>(含所属医院)</w:t>
      </w:r>
      <w:r>
        <w:rPr>
          <w:rFonts w:hint="eastAsia" w:ascii="仿宋_GB2312" w:hAnsi="仿宋" w:eastAsia="仿宋_GB2312"/>
          <w:sz w:val="32"/>
          <w:szCs w:val="32"/>
        </w:rPr>
        <w:t>。</w:t>
      </w:r>
    </w:p>
    <w:p>
      <w:pPr>
        <w:spacing w:beforeLines="0" w:line="540" w:lineRule="exact"/>
        <w:ind w:firstLine="645"/>
        <w:rPr>
          <w:rFonts w:hint="eastAsia" w:ascii="仿宋_GB2312" w:hAnsi="仿宋" w:eastAsia="仿宋_GB2312"/>
          <w:sz w:val="32"/>
          <w:szCs w:val="32"/>
        </w:rPr>
      </w:pPr>
      <w:r>
        <w:rPr>
          <w:rFonts w:hint="eastAsia" w:ascii="仿宋_GB2312" w:hAnsi="仿宋" w:eastAsia="仿宋_GB2312"/>
          <w:sz w:val="32"/>
          <w:szCs w:val="32"/>
        </w:rPr>
        <w:t>大赛</w:t>
      </w:r>
      <w:r>
        <w:rPr>
          <w:rFonts w:hint="eastAsia" w:ascii="仿宋_GB2312" w:hAnsi="仿宋" w:eastAsia="仿宋_GB2312"/>
          <w:sz w:val="32"/>
          <w:szCs w:val="32"/>
          <w:lang w:eastAsia="zh-CN"/>
        </w:rPr>
        <w:t>实施</w:t>
      </w:r>
      <w:r>
        <w:rPr>
          <w:rFonts w:hint="eastAsia" w:ascii="仿宋_GB2312" w:hAnsi="仿宋" w:eastAsia="仿宋_GB2312"/>
          <w:sz w:val="32"/>
          <w:szCs w:val="32"/>
        </w:rPr>
        <w:t>方案详见附件2。</w:t>
      </w:r>
    </w:p>
    <w:p>
      <w:pPr>
        <w:spacing w:beforeLines="0" w:line="540" w:lineRule="exact"/>
        <w:ind w:firstLine="645"/>
        <w:rPr>
          <w:rFonts w:hint="eastAsia" w:ascii="黑体" w:hAnsi="黑体" w:eastAsia="黑体" w:cs="黑体"/>
          <w:b w:val="0"/>
          <w:bCs/>
          <w:sz w:val="32"/>
          <w:szCs w:val="32"/>
        </w:rPr>
      </w:pPr>
      <w:r>
        <w:rPr>
          <w:rFonts w:hint="eastAsia" w:ascii="黑体" w:hAnsi="黑体" w:eastAsia="黑体" w:cs="黑体"/>
          <w:b w:val="0"/>
          <w:bCs/>
          <w:sz w:val="32"/>
          <w:szCs w:val="32"/>
          <w:lang w:eastAsia="zh-CN"/>
        </w:rPr>
        <w:t>五</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lang w:eastAsia="zh-CN"/>
        </w:rPr>
        <w:t>决赛</w:t>
      </w:r>
      <w:r>
        <w:rPr>
          <w:rFonts w:hint="eastAsia" w:ascii="黑体" w:hAnsi="黑体" w:eastAsia="黑体" w:cs="黑体"/>
          <w:b w:val="0"/>
          <w:bCs/>
          <w:sz w:val="32"/>
          <w:szCs w:val="32"/>
        </w:rPr>
        <w:t>奖项设置</w:t>
      </w:r>
    </w:p>
    <w:p>
      <w:pPr>
        <w:spacing w:beforeLines="0" w:line="540" w:lineRule="exact"/>
        <w:ind w:firstLine="640" w:firstLineChars="200"/>
        <w:rPr>
          <w:rFonts w:hint="eastAsia" w:ascii="楷体" w:hAnsi="楷体" w:eastAsia="楷体" w:cs="楷体"/>
          <w:b w:val="0"/>
          <w:bCs/>
          <w:color w:val="000000"/>
          <w:sz w:val="32"/>
        </w:rPr>
      </w:pPr>
      <w:r>
        <w:rPr>
          <w:rFonts w:hint="eastAsia" w:ascii="楷体" w:hAnsi="楷体" w:eastAsia="楷体" w:cs="楷体"/>
          <w:b w:val="0"/>
          <w:bCs/>
          <w:color w:val="000000"/>
          <w:sz w:val="32"/>
          <w:lang w:eastAsia="zh-CN"/>
        </w:rPr>
        <w:t>（一）</w:t>
      </w:r>
      <w:r>
        <w:rPr>
          <w:rFonts w:hint="eastAsia" w:ascii="楷体" w:hAnsi="楷体" w:eastAsia="楷体" w:cs="楷体"/>
          <w:b w:val="0"/>
          <w:bCs/>
          <w:color w:val="000000"/>
          <w:sz w:val="32"/>
          <w:lang w:eastAsia="zh-CN"/>
        </w:rPr>
        <w:t>选手</w:t>
      </w:r>
      <w:r>
        <w:rPr>
          <w:rFonts w:hint="eastAsia" w:ascii="楷体" w:hAnsi="楷体" w:eastAsia="楷体" w:cs="楷体"/>
          <w:b w:val="0"/>
          <w:bCs/>
          <w:color w:val="000000"/>
          <w:sz w:val="32"/>
        </w:rPr>
        <w:t>奖项</w:t>
      </w:r>
    </w:p>
    <w:p>
      <w:pPr>
        <w:spacing w:beforeLines="0"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设一等奖、二等奖、三等奖</w:t>
      </w:r>
      <w:r>
        <w:rPr>
          <w:rFonts w:hint="eastAsia" w:ascii="仿宋_GB2312" w:hAnsi="仿宋" w:eastAsia="仿宋_GB2312"/>
          <w:sz w:val="32"/>
          <w:szCs w:val="32"/>
          <w:lang w:eastAsia="zh-CN"/>
        </w:rPr>
        <w:t>和</w:t>
      </w:r>
      <w:r>
        <w:rPr>
          <w:rFonts w:hint="eastAsia" w:ascii="仿宋_GB2312" w:hAnsi="仿宋" w:eastAsia="仿宋_GB2312"/>
          <w:sz w:val="32"/>
          <w:szCs w:val="32"/>
        </w:rPr>
        <w:t>优秀奖。奖</w:t>
      </w:r>
      <w:r>
        <w:rPr>
          <w:rFonts w:hint="eastAsia" w:ascii="仿宋_GB2312" w:hAnsi="仿宋" w:eastAsia="仿宋_GB2312"/>
          <w:sz w:val="32"/>
          <w:szCs w:val="32"/>
          <w:lang w:eastAsia="zh-CN"/>
        </w:rPr>
        <w:t>项</w:t>
      </w:r>
      <w:r>
        <w:rPr>
          <w:rFonts w:hint="eastAsia" w:ascii="仿宋_GB2312" w:hAnsi="仿宋" w:eastAsia="仿宋_GB2312"/>
          <w:sz w:val="32"/>
          <w:szCs w:val="32"/>
        </w:rPr>
        <w:t>名额在赛前公布。</w:t>
      </w:r>
    </w:p>
    <w:p>
      <w:pPr>
        <w:spacing w:beforeLines="0" w:line="540" w:lineRule="exact"/>
        <w:ind w:firstLine="640" w:firstLineChars="200"/>
        <w:rPr>
          <w:rFonts w:hint="eastAsia" w:ascii="楷体" w:hAnsi="楷体" w:eastAsia="楷体" w:cs="楷体"/>
          <w:b w:val="0"/>
          <w:bCs/>
          <w:color w:val="000000"/>
          <w:sz w:val="32"/>
        </w:rPr>
      </w:pPr>
      <w:r>
        <w:rPr>
          <w:rFonts w:hint="eastAsia" w:ascii="楷体" w:hAnsi="楷体" w:eastAsia="楷体" w:cs="楷体"/>
          <w:b w:val="0"/>
          <w:bCs/>
          <w:color w:val="000000"/>
          <w:sz w:val="32"/>
          <w:lang w:eastAsia="zh-CN"/>
        </w:rPr>
        <w:t>（二）</w:t>
      </w:r>
      <w:r>
        <w:rPr>
          <w:rFonts w:hint="eastAsia" w:ascii="楷体" w:hAnsi="楷体" w:eastAsia="楷体" w:cs="楷体"/>
          <w:b w:val="0"/>
          <w:bCs/>
          <w:color w:val="000000"/>
          <w:sz w:val="32"/>
        </w:rPr>
        <w:t>组织奖项</w:t>
      </w:r>
    </w:p>
    <w:p>
      <w:pPr>
        <w:spacing w:beforeLines="0" w:line="540" w:lineRule="exact"/>
        <w:ind w:firstLine="640" w:firstLineChars="200"/>
        <w:rPr>
          <w:rFonts w:hint="eastAsia" w:ascii="仿宋_GB2312" w:hAnsi="仿宋" w:eastAsia="仿宋_GB2312"/>
          <w:sz w:val="32"/>
          <w:szCs w:val="32"/>
        </w:rPr>
      </w:pPr>
      <w:r>
        <w:rPr>
          <w:rFonts w:hint="eastAsia" w:ascii="仿宋_GB2312" w:hAnsi="仿宋" w:eastAsia="仿宋_GB2312"/>
          <w:b/>
          <w:bCs/>
          <w:sz w:val="32"/>
          <w:szCs w:val="32"/>
        </w:rPr>
        <w:t>比赛设优秀组织奖。</w:t>
      </w:r>
      <w:r>
        <w:rPr>
          <w:rFonts w:hint="eastAsia" w:ascii="仿宋_GB2312" w:hAnsi="仿宋" w:eastAsia="仿宋_GB2312"/>
          <w:sz w:val="32"/>
          <w:szCs w:val="32"/>
        </w:rPr>
        <w:t>奖励本次大赛的预赛优秀组织单位。参评优秀组织奖的单位需于</w:t>
      </w:r>
      <w:r>
        <w:rPr>
          <w:rFonts w:hint="eastAsia" w:ascii="仿宋_GB2312" w:hAnsi="仿宋" w:eastAsia="仿宋_GB2312"/>
          <w:b/>
          <w:bCs/>
          <w:sz w:val="32"/>
          <w:szCs w:val="32"/>
        </w:rPr>
        <w:t>5月</w:t>
      </w:r>
      <w:r>
        <w:rPr>
          <w:rFonts w:hint="eastAsia" w:ascii="仿宋_GB2312" w:hAnsi="仿宋" w:eastAsia="仿宋_GB2312"/>
          <w:b/>
          <w:bCs/>
          <w:sz w:val="32"/>
          <w:szCs w:val="32"/>
          <w:lang w:val="en-US" w:eastAsia="zh-CN"/>
        </w:rPr>
        <w:t>21</w:t>
      </w:r>
      <w:r>
        <w:rPr>
          <w:rFonts w:hint="eastAsia" w:ascii="仿宋_GB2312" w:hAnsi="仿宋" w:eastAsia="仿宋_GB2312"/>
          <w:b/>
          <w:bCs/>
          <w:sz w:val="32"/>
          <w:szCs w:val="32"/>
        </w:rPr>
        <w:t>日前</w:t>
      </w:r>
      <w:r>
        <w:rPr>
          <w:rFonts w:hint="eastAsia" w:ascii="仿宋_GB2312" w:hAnsi="仿宋" w:eastAsia="仿宋_GB2312"/>
          <w:sz w:val="32"/>
          <w:szCs w:val="32"/>
        </w:rPr>
        <w:t>提交预赛组织视频（原版视频及2分钟剪辑版）、新闻报道原稿及截图、活动现场照片（5张）等相关材料作为参评依据。</w:t>
      </w:r>
    </w:p>
    <w:p>
      <w:pPr>
        <w:spacing w:beforeLines="0" w:line="540" w:lineRule="exact"/>
        <w:ind w:firstLine="645"/>
        <w:rPr>
          <w:rFonts w:hint="eastAsia"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w:t>
      </w:r>
      <w:r>
        <w:rPr>
          <w:rFonts w:hint="eastAsia" w:ascii="黑体" w:hAnsi="黑体" w:eastAsia="黑体"/>
          <w:sz w:val="32"/>
          <w:szCs w:val="32"/>
          <w:lang w:eastAsia="zh-CN"/>
        </w:rPr>
        <w:t>其他事项</w:t>
      </w:r>
    </w:p>
    <w:p>
      <w:pPr>
        <w:spacing w:beforeLines="0" w:line="540" w:lineRule="exact"/>
        <w:ind w:firstLine="640" w:firstLineChars="200"/>
        <w:rPr>
          <w:rFonts w:hint="eastAsia" w:ascii="仿宋_GB2312" w:hAnsi="仿宋" w:eastAsia="仿宋_GB2312"/>
          <w:sz w:val="32"/>
          <w:szCs w:val="32"/>
        </w:rPr>
      </w:pPr>
      <w:r>
        <w:rPr>
          <w:rFonts w:hint="eastAsia" w:ascii="仿宋_GB2312" w:hAnsi="仿宋" w:eastAsia="仿宋_GB2312"/>
          <w:b w:val="0"/>
          <w:bCs/>
          <w:sz w:val="32"/>
          <w:szCs w:val="32"/>
        </w:rPr>
        <w:t>（</w:t>
      </w:r>
      <w:r>
        <w:rPr>
          <w:rFonts w:hint="eastAsia" w:ascii="仿宋_GB2312" w:hAnsi="仿宋" w:eastAsia="仿宋_GB2312"/>
          <w:b w:val="0"/>
          <w:bCs/>
          <w:sz w:val="32"/>
          <w:szCs w:val="32"/>
          <w:lang w:eastAsia="zh-CN"/>
        </w:rPr>
        <w:t>一</w:t>
      </w:r>
      <w:r>
        <w:rPr>
          <w:rFonts w:hint="eastAsia" w:ascii="仿宋_GB2312" w:hAnsi="仿宋" w:eastAsia="仿宋_GB2312"/>
          <w:b w:val="0"/>
          <w:bCs/>
          <w:sz w:val="32"/>
          <w:szCs w:val="32"/>
        </w:rPr>
        <w:t>）</w:t>
      </w:r>
      <w:r>
        <w:rPr>
          <w:rFonts w:hint="eastAsia" w:ascii="仿宋_GB2312" w:hAnsi="仿宋" w:eastAsia="仿宋_GB2312"/>
          <w:sz w:val="32"/>
          <w:szCs w:val="32"/>
        </w:rPr>
        <w:t>根据全国科普讲解大赛的要求和选手指标，将推荐排名靠前的选手代表福建省参加全国科普讲解大赛。</w:t>
      </w:r>
    </w:p>
    <w:p>
      <w:pPr>
        <w:spacing w:beforeLines="0" w:line="540" w:lineRule="exact"/>
        <w:ind w:firstLine="645"/>
        <w:rPr>
          <w:rFonts w:hint="eastAsia" w:ascii="仿宋_GB2312" w:hAnsi="仿宋" w:eastAsia="仿宋_GB2312"/>
          <w:sz w:val="32"/>
          <w:szCs w:val="32"/>
        </w:rPr>
      </w:pPr>
      <w:r>
        <w:rPr>
          <w:rFonts w:hint="eastAsia" w:ascii="仿宋_GB2312" w:hAnsi="仿宋" w:eastAsia="仿宋_GB2312"/>
          <w:b w:val="0"/>
          <w:bCs/>
          <w:sz w:val="32"/>
          <w:szCs w:val="32"/>
        </w:rPr>
        <w:t>（</w:t>
      </w:r>
      <w:r>
        <w:rPr>
          <w:rFonts w:hint="eastAsia" w:ascii="仿宋_GB2312" w:hAnsi="仿宋" w:eastAsia="仿宋_GB2312"/>
          <w:b w:val="0"/>
          <w:bCs/>
          <w:sz w:val="32"/>
          <w:szCs w:val="32"/>
          <w:lang w:eastAsia="zh-CN"/>
        </w:rPr>
        <w:t>二</w:t>
      </w:r>
      <w:r>
        <w:rPr>
          <w:rFonts w:hint="eastAsia" w:ascii="仿宋_GB2312" w:hAnsi="仿宋" w:eastAsia="仿宋_GB2312"/>
          <w:b w:val="0"/>
          <w:bCs/>
          <w:sz w:val="32"/>
          <w:szCs w:val="32"/>
        </w:rPr>
        <w:t>）</w:t>
      </w:r>
      <w:r>
        <w:rPr>
          <w:rFonts w:hint="eastAsia" w:ascii="仿宋_GB2312" w:hAnsi="仿宋" w:eastAsia="仿宋_GB2312"/>
          <w:sz w:val="32"/>
          <w:szCs w:val="32"/>
        </w:rPr>
        <w:t>主办方将根据实际情况在赛前统一组织参加全国大赛的选手进行培训。</w:t>
      </w:r>
    </w:p>
    <w:p>
      <w:pPr>
        <w:spacing w:beforeLines="0" w:line="540" w:lineRule="exact"/>
        <w:ind w:firstLine="645"/>
        <w:rPr>
          <w:rFonts w:hint="eastAsia" w:ascii="仿宋_GB2312" w:hAnsi="仿宋" w:eastAsia="仿宋_GB2312"/>
          <w:sz w:val="32"/>
          <w:szCs w:val="32"/>
        </w:rPr>
      </w:pPr>
      <w:r>
        <w:rPr>
          <w:rFonts w:hint="eastAsia" w:ascii="仿宋_GB2312" w:hAnsi="仿宋" w:eastAsia="仿宋_GB2312"/>
          <w:b w:val="0"/>
          <w:bCs/>
          <w:sz w:val="32"/>
          <w:szCs w:val="32"/>
        </w:rPr>
        <w:t>（</w:t>
      </w:r>
      <w:r>
        <w:rPr>
          <w:rFonts w:hint="eastAsia" w:ascii="仿宋_GB2312" w:hAnsi="仿宋" w:eastAsia="仿宋_GB2312"/>
          <w:b w:val="0"/>
          <w:bCs/>
          <w:sz w:val="32"/>
          <w:szCs w:val="32"/>
          <w:lang w:eastAsia="zh-CN"/>
        </w:rPr>
        <w:t>三</w:t>
      </w:r>
      <w:r>
        <w:rPr>
          <w:rFonts w:hint="eastAsia" w:ascii="仿宋_GB2312" w:hAnsi="仿宋" w:eastAsia="仿宋_GB2312"/>
          <w:b w:val="0"/>
          <w:bCs/>
          <w:sz w:val="32"/>
          <w:szCs w:val="32"/>
        </w:rPr>
        <w:t>）</w:t>
      </w:r>
      <w:r>
        <w:rPr>
          <w:rFonts w:hint="eastAsia" w:ascii="仿宋_GB2312" w:hAnsi="仿宋" w:eastAsia="仿宋_GB2312"/>
          <w:bCs/>
          <w:sz w:val="32"/>
          <w:szCs w:val="32"/>
        </w:rPr>
        <w:t>报</w:t>
      </w:r>
      <w:r>
        <w:rPr>
          <w:rFonts w:hint="eastAsia" w:ascii="仿宋_GB2312" w:hAnsi="仿宋" w:eastAsia="仿宋_GB2312"/>
          <w:sz w:val="32"/>
          <w:szCs w:val="32"/>
        </w:rPr>
        <w:t>名选手不需交纳任何参赛费用。选手往返交通费、食宿费自理</w:t>
      </w:r>
      <w:r>
        <w:rPr>
          <w:rFonts w:hint="eastAsia" w:ascii="仿宋_GB2312" w:hAnsi="仿宋" w:eastAsia="仿宋_GB2312"/>
          <w:sz w:val="32"/>
          <w:szCs w:val="32"/>
          <w:lang w:eastAsia="zh-CN"/>
        </w:rPr>
        <w:t>。</w:t>
      </w:r>
      <w:r>
        <w:rPr>
          <w:rFonts w:hint="eastAsia" w:ascii="仿宋_GB2312" w:hAnsi="仿宋" w:eastAsia="仿宋_GB2312"/>
          <w:sz w:val="32"/>
          <w:szCs w:val="32"/>
        </w:rPr>
        <w:t>参赛当天伙食费由主办单位承担。</w:t>
      </w:r>
    </w:p>
    <w:p>
      <w:pPr>
        <w:spacing w:beforeLines="0" w:line="540" w:lineRule="exact"/>
        <w:rPr>
          <w:rFonts w:hint="eastAsia" w:ascii="仿宋_GB2312" w:hAnsi="仿宋_GB2312" w:eastAsia="仿宋_GB2312" w:cs="仿宋_GB2312"/>
          <w:bCs/>
          <w:sz w:val="32"/>
          <w:szCs w:val="32"/>
        </w:rPr>
      </w:pPr>
      <w:r>
        <w:rPr>
          <w:rFonts w:hint="eastAsia" w:ascii="仿宋_GB2312" w:hAnsi="仿宋" w:eastAsia="仿宋_GB2312"/>
          <w:sz w:val="32"/>
          <w:szCs w:val="32"/>
          <w:lang w:val="en-US" w:eastAsia="zh-CN"/>
        </w:rPr>
        <w:t xml:space="preserve">   </w:t>
      </w:r>
      <w:r>
        <w:rPr>
          <w:rFonts w:hint="eastAsia" w:ascii="仿宋_GB2312" w:hAnsi="仿宋_GB2312" w:eastAsia="仿宋_GB2312" w:cs="仿宋_GB2312"/>
          <w:b w:val="0"/>
          <w:bCs/>
          <w:sz w:val="32"/>
          <w:szCs w:val="32"/>
          <w:lang w:val="en-US" w:eastAsia="zh-CN"/>
        </w:rPr>
        <w:t xml:space="preserve"> （四）</w:t>
      </w:r>
      <w:r>
        <w:rPr>
          <w:rFonts w:hint="eastAsia" w:ascii="仿宋_GB2312" w:hAnsi="仿宋_GB2312" w:eastAsia="仿宋_GB2312" w:cs="仿宋_GB2312"/>
          <w:bCs/>
          <w:sz w:val="32"/>
          <w:szCs w:val="32"/>
        </w:rPr>
        <w:t>联系方式</w:t>
      </w:r>
      <w:r>
        <w:rPr>
          <w:rFonts w:hint="eastAsia" w:ascii="仿宋_GB2312" w:hAnsi="仿宋_GB2312" w:eastAsia="仿宋_GB2312" w:cs="仿宋_GB2312"/>
          <w:bCs/>
          <w:sz w:val="32"/>
          <w:szCs w:val="32"/>
          <w:lang w:eastAsia="zh-CN"/>
        </w:rPr>
        <w:t>：</w:t>
      </w:r>
    </w:p>
    <w:p>
      <w:pPr>
        <w:spacing w:beforeLines="0" w:line="540" w:lineRule="exact"/>
        <w:ind w:firstLine="645"/>
        <w:rPr>
          <w:rFonts w:hint="eastAsia" w:ascii="仿宋_GB2312" w:hAnsi="仿宋" w:eastAsia="仿宋_GB2312"/>
          <w:b w:val="0"/>
          <w:bCs/>
          <w:sz w:val="32"/>
          <w:szCs w:val="32"/>
        </w:rPr>
      </w:pPr>
      <w:r>
        <w:rPr>
          <w:rFonts w:hint="eastAsia" w:ascii="仿宋_GB2312" w:hAnsi="仿宋" w:eastAsia="仿宋_GB2312"/>
          <w:b w:val="0"/>
          <w:bCs/>
          <w:sz w:val="32"/>
          <w:szCs w:val="32"/>
        </w:rPr>
        <w:t>福建省对外科技交流中心</w:t>
      </w:r>
    </w:p>
    <w:p>
      <w:pPr>
        <w:spacing w:beforeLines="0" w:line="540" w:lineRule="exact"/>
        <w:ind w:firstLine="645"/>
        <w:rPr>
          <w:rFonts w:hint="eastAsia" w:ascii="仿宋_GB2312" w:hAnsi="仿宋" w:eastAsia="仿宋_GB2312"/>
          <w:sz w:val="32"/>
          <w:szCs w:val="32"/>
        </w:rPr>
      </w:pPr>
      <w:r>
        <w:rPr>
          <w:rFonts w:hint="eastAsia" w:ascii="仿宋_GB2312" w:hAnsi="仿宋" w:eastAsia="仿宋_GB2312"/>
          <w:sz w:val="32"/>
          <w:szCs w:val="32"/>
        </w:rPr>
        <w:t>联系人：</w:t>
      </w:r>
      <w:r>
        <w:rPr>
          <w:rFonts w:hint="eastAsia" w:ascii="仿宋_GB2312" w:hAnsi="仿宋" w:eastAsia="仿宋_GB2312" w:cs="宋体"/>
          <w:sz w:val="32"/>
          <w:szCs w:val="32"/>
        </w:rPr>
        <w:t>魏</w:t>
      </w:r>
      <w:r>
        <w:rPr>
          <w:rFonts w:hint="eastAsia" w:ascii="宋体" w:hAnsi="宋体" w:cs="宋体"/>
          <w:sz w:val="32"/>
          <w:szCs w:val="32"/>
        </w:rPr>
        <w:t>垚</w:t>
      </w:r>
      <w:r>
        <w:rPr>
          <w:rFonts w:hint="eastAsia" w:ascii="仿宋_GB2312" w:hAnsi="仿宋" w:eastAsia="仿宋_GB2312" w:cs="宋体"/>
          <w:sz w:val="32"/>
          <w:szCs w:val="32"/>
        </w:rPr>
        <w:t>静  黄滢锋</w:t>
      </w:r>
    </w:p>
    <w:p>
      <w:pPr>
        <w:spacing w:beforeLines="0" w:line="540" w:lineRule="exact"/>
        <w:ind w:firstLine="645"/>
        <w:rPr>
          <w:rFonts w:hint="eastAsia" w:ascii="仿宋_GB2312" w:hAnsi="仿宋" w:eastAsia="仿宋_GB2312"/>
          <w:sz w:val="32"/>
          <w:szCs w:val="32"/>
        </w:rPr>
      </w:pPr>
      <w:r>
        <w:rPr>
          <w:rFonts w:hint="eastAsia" w:ascii="仿宋_GB2312" w:hAnsi="仿宋" w:eastAsia="仿宋_GB2312"/>
          <w:sz w:val="32"/>
          <w:szCs w:val="32"/>
        </w:rPr>
        <w:t>电  话：0591-87871764，87859586</w:t>
      </w:r>
    </w:p>
    <w:p>
      <w:pPr>
        <w:spacing w:beforeLines="0" w:line="540" w:lineRule="exact"/>
        <w:ind w:firstLine="645"/>
        <w:rPr>
          <w:rFonts w:hint="eastAsia" w:ascii="仿宋_GB2312" w:hAnsi="仿宋" w:eastAsia="仿宋_GB2312"/>
          <w:sz w:val="32"/>
          <w:szCs w:val="32"/>
        </w:rPr>
      </w:pPr>
      <w:r>
        <w:rPr>
          <w:rFonts w:hint="eastAsia" w:ascii="仿宋_GB2312" w:hAnsi="仿宋" w:eastAsia="仿宋_GB2312"/>
          <w:sz w:val="32"/>
          <w:szCs w:val="32"/>
        </w:rPr>
        <w:t>邮  箱：</w:t>
      </w:r>
      <w:r>
        <w:rPr>
          <w:rFonts w:ascii="仿宋_GB2312" w:hAnsi="仿宋" w:eastAsia="仿宋_GB2312"/>
          <w:sz w:val="32"/>
          <w:szCs w:val="32"/>
        </w:rPr>
        <w:t>kepumail@kjt.fujian.gov.cn</w:t>
      </w:r>
    </w:p>
    <w:p>
      <w:pPr>
        <w:spacing w:beforeLines="0" w:line="540" w:lineRule="exact"/>
        <w:ind w:firstLine="645"/>
        <w:rPr>
          <w:rFonts w:hint="eastAsia" w:ascii="仿宋_GB2312" w:hAnsi="仿宋" w:eastAsia="仿宋_GB2312"/>
          <w:sz w:val="32"/>
          <w:szCs w:val="32"/>
        </w:rPr>
      </w:pPr>
      <w:r>
        <w:rPr>
          <w:rFonts w:hint="eastAsia" w:ascii="仿宋_GB2312" w:hAnsi="仿宋" w:eastAsia="仿宋_GB2312"/>
          <w:sz w:val="32"/>
          <w:szCs w:val="32"/>
        </w:rPr>
        <w:t>QQ群号：592024684</w:t>
      </w:r>
    </w:p>
    <w:p>
      <w:pPr>
        <w:spacing w:beforeLines="0" w:line="540" w:lineRule="exact"/>
        <w:ind w:firstLine="645" w:firstLineChars="0"/>
        <w:rPr>
          <w:rFonts w:hint="eastAsia" w:ascii="仿宋_GB2312" w:hAnsi="仿宋" w:eastAsia="仿宋_GB2312"/>
          <w:b/>
          <w:sz w:val="32"/>
          <w:szCs w:val="32"/>
        </w:rPr>
      </w:pPr>
      <w:r>
        <w:rPr>
          <w:rFonts w:hint="eastAsia" w:ascii="仿宋_GB2312" w:hAnsi="仿宋" w:eastAsia="仿宋_GB2312"/>
          <w:sz w:val="32"/>
          <w:szCs w:val="32"/>
        </w:rPr>
        <w:t>（为方便及时交流，请参</w:t>
      </w:r>
      <w:r>
        <w:rPr>
          <w:rFonts w:hint="eastAsia" w:ascii="仿宋_GB2312" w:hAnsi="仿宋" w:eastAsia="仿宋_GB2312"/>
          <w:sz w:val="32"/>
          <w:szCs w:val="32"/>
          <w:lang w:eastAsia="zh-CN"/>
        </w:rPr>
        <w:t>加决</w:t>
      </w:r>
      <w:r>
        <w:rPr>
          <w:rFonts w:hint="eastAsia" w:ascii="仿宋_GB2312" w:hAnsi="仿宋" w:eastAsia="仿宋_GB2312"/>
          <w:sz w:val="32"/>
          <w:szCs w:val="32"/>
        </w:rPr>
        <w:t>赛选手加入QQ群，比赛题目、会务等相关事宜将在群中公布）</w:t>
      </w:r>
    </w:p>
    <w:p>
      <w:pPr>
        <w:spacing w:beforeLines="0" w:line="540" w:lineRule="exact"/>
        <w:ind w:firstLine="627" w:firstLineChars="196"/>
        <w:rPr>
          <w:rFonts w:hint="eastAsia" w:ascii="仿宋_GB2312" w:hAnsi="仿宋" w:eastAsia="仿宋_GB2312"/>
          <w:b w:val="0"/>
          <w:bCs/>
          <w:sz w:val="32"/>
          <w:szCs w:val="32"/>
        </w:rPr>
      </w:pPr>
      <w:r>
        <w:rPr>
          <w:rFonts w:hint="eastAsia" w:ascii="仿宋_GB2312" w:hAnsi="仿宋" w:eastAsia="仿宋_GB2312"/>
          <w:b w:val="0"/>
          <w:bCs/>
          <w:sz w:val="32"/>
          <w:szCs w:val="32"/>
        </w:rPr>
        <w:t>福建省科技厅</w:t>
      </w:r>
    </w:p>
    <w:p>
      <w:pPr>
        <w:spacing w:beforeLines="0" w:line="540" w:lineRule="exact"/>
        <w:ind w:firstLine="645"/>
        <w:rPr>
          <w:rFonts w:hint="eastAsia" w:ascii="仿宋_GB2312" w:hAnsi="仿宋" w:eastAsia="仿宋_GB2312"/>
          <w:sz w:val="32"/>
          <w:szCs w:val="32"/>
        </w:rPr>
      </w:pPr>
      <w:r>
        <w:rPr>
          <w:rFonts w:hint="eastAsia" w:ascii="仿宋_GB2312" w:hAnsi="仿宋" w:eastAsia="仿宋_GB2312"/>
          <w:sz w:val="32"/>
          <w:szCs w:val="32"/>
        </w:rPr>
        <w:t>联系人：周到</w:t>
      </w:r>
      <w:r>
        <w:rPr>
          <w:rFonts w:hint="eastAsia" w:ascii="仿宋_GB2312" w:hAnsi="仿宋" w:eastAsia="仿宋_GB2312"/>
          <w:sz w:val="32"/>
          <w:szCs w:val="32"/>
          <w:lang w:eastAsia="zh-CN"/>
        </w:rPr>
        <w:t>，</w:t>
      </w:r>
      <w:r>
        <w:rPr>
          <w:rFonts w:hint="eastAsia" w:ascii="仿宋_GB2312" w:hAnsi="仿宋" w:eastAsia="仿宋_GB2312"/>
          <w:sz w:val="32"/>
          <w:szCs w:val="32"/>
        </w:rPr>
        <w:t>电话：0591-87833900</w:t>
      </w:r>
    </w:p>
    <w:p>
      <w:pPr>
        <w:spacing w:beforeLines="0" w:line="540" w:lineRule="exact"/>
        <w:rPr>
          <w:rFonts w:hint="eastAsia" w:ascii="仿宋_GB2312" w:hAnsi="仿宋" w:eastAsia="仿宋_GB2312"/>
          <w:sz w:val="32"/>
          <w:szCs w:val="32"/>
        </w:rPr>
      </w:pPr>
      <w:r>
        <w:rPr>
          <w:rFonts w:hint="eastAsia" w:ascii="仿宋_GB2312" w:hAnsi="仿宋" w:eastAsia="仿宋_GB2312"/>
          <w:sz w:val="32"/>
          <w:szCs w:val="32"/>
        </w:rPr>
        <w:t xml:space="preserve">    </w:t>
      </w:r>
    </w:p>
    <w:p>
      <w:pPr>
        <w:spacing w:beforeLines="0"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附件：1.福建省第五届科普讲解大赛报名表</w:t>
      </w:r>
    </w:p>
    <w:p>
      <w:pPr>
        <w:spacing w:beforeLines="0" w:line="540" w:lineRule="exact"/>
        <w:ind w:left="0" w:leftChars="0" w:firstLine="1600" w:firstLineChars="500"/>
        <w:rPr>
          <w:rFonts w:hint="eastAsia" w:ascii="仿宋_GB2312" w:hAnsi="仿宋" w:eastAsia="仿宋_GB2312"/>
          <w:sz w:val="32"/>
          <w:szCs w:val="32"/>
        </w:rPr>
      </w:pPr>
      <w:r>
        <w:rPr>
          <w:rFonts w:hint="eastAsia" w:ascii="仿宋_GB2312" w:hAnsi="仿宋" w:eastAsia="仿宋_GB2312"/>
          <w:sz w:val="32"/>
          <w:szCs w:val="32"/>
        </w:rPr>
        <w:t>2.福建省第五届科普讲解大赛实施方案</w:t>
      </w:r>
    </w:p>
    <w:p>
      <w:pPr>
        <w:spacing w:beforeLines="0" w:line="540" w:lineRule="exact"/>
        <w:ind w:left="2755" w:leftChars="761" w:hanging="320" w:hangingChars="100"/>
        <w:rPr>
          <w:rFonts w:hint="eastAsia" w:ascii="仿宋_GB2312" w:hAnsi="仿宋" w:eastAsia="仿宋_GB2312"/>
          <w:sz w:val="32"/>
          <w:szCs w:val="32"/>
        </w:rPr>
      </w:pPr>
    </w:p>
    <w:p>
      <w:pPr>
        <w:spacing w:beforeLines="0" w:line="540" w:lineRule="exact"/>
        <w:rPr>
          <w:rFonts w:hint="eastAsia" w:ascii="仿宋_GB2312" w:hAnsi="仿宋" w:eastAsia="仿宋_GB2312"/>
          <w:sz w:val="32"/>
          <w:szCs w:val="32"/>
        </w:rPr>
      </w:pPr>
      <w:r>
        <w:rPr>
          <w:rFonts w:hint="eastAsia" w:ascii="仿宋_GB2312" w:hAnsi="仿宋" w:eastAsia="仿宋_GB2312"/>
          <w:sz w:val="32"/>
          <w:szCs w:val="32"/>
        </w:rPr>
        <w:t xml:space="preserve"> </w:t>
      </w:r>
    </w:p>
    <w:p>
      <w:pPr>
        <w:spacing w:beforeLines="0" w:line="540" w:lineRule="exact"/>
        <w:rPr>
          <w:rFonts w:hint="eastAsia" w:ascii="仿宋_GB2312" w:hAnsi="仿宋" w:eastAsia="仿宋_GB2312"/>
          <w:sz w:val="32"/>
          <w:szCs w:val="32"/>
        </w:rPr>
      </w:pPr>
    </w:p>
    <w:p>
      <w:pPr>
        <w:spacing w:beforeLines="0" w:line="540" w:lineRule="exact"/>
        <w:ind w:firstLine="5120" w:firstLineChars="1600"/>
        <w:rPr>
          <w:rFonts w:hint="eastAsia" w:ascii="仿宋_GB2312" w:hAnsi="仿宋" w:eastAsia="仿宋_GB2312"/>
          <w:sz w:val="32"/>
          <w:szCs w:val="32"/>
        </w:rPr>
      </w:pPr>
      <w:r>
        <w:rPr>
          <w:rFonts w:hint="eastAsia" w:ascii="仿宋_GB2312" w:hAnsi="仿宋" w:eastAsia="仿宋_GB2312"/>
          <w:sz w:val="32"/>
          <w:szCs w:val="32"/>
        </w:rPr>
        <w:t xml:space="preserve">福建省科学技术厅 </w:t>
      </w:r>
    </w:p>
    <w:p>
      <w:pPr>
        <w:spacing w:beforeLines="0" w:line="540" w:lineRule="exact"/>
        <w:ind w:firstLine="0" w:firstLineChars="0"/>
        <w:rPr>
          <w:rFonts w:hint="eastAsia" w:ascii="仿宋_GB2312" w:hAnsi="仿宋" w:eastAsia="仿宋_GB2312"/>
          <w:sz w:val="32"/>
          <w:szCs w:val="32"/>
        </w:rPr>
      </w:pPr>
      <w:r>
        <w:rPr>
          <w:rFonts w:hint="eastAsia" w:ascii="仿宋_GB2312" w:hAnsi="仿宋" w:eastAsia="仿宋_GB2312"/>
          <w:sz w:val="32"/>
          <w:szCs w:val="32"/>
        </w:rPr>
        <w:t xml:space="preserve">                                 2021年4月</w:t>
      </w:r>
      <w:r>
        <w:rPr>
          <w:rFonts w:hint="eastAsia" w:ascii="仿宋_GB2312" w:hAnsi="仿宋" w:eastAsia="仿宋_GB2312"/>
          <w:sz w:val="32"/>
          <w:szCs w:val="32"/>
          <w:lang w:val="en-US" w:eastAsia="zh-CN"/>
        </w:rPr>
        <w:t>22</w:t>
      </w:r>
      <w:r>
        <w:rPr>
          <w:rFonts w:hint="eastAsia" w:ascii="仿宋_GB2312" w:hAnsi="仿宋" w:eastAsia="仿宋_GB2312"/>
          <w:sz w:val="32"/>
          <w:szCs w:val="32"/>
        </w:rPr>
        <w:t>日</w:t>
      </w:r>
    </w:p>
    <w:bookmarkEnd w:id="6"/>
    <w:p>
      <w:pPr>
        <w:spacing w:beforeLines="0" w:line="540" w:lineRule="exact"/>
        <w:ind w:firstLine="0" w:firstLineChars="0"/>
        <w:rPr>
          <w:rFonts w:hint="eastAsia" w:ascii="仿宋_GB2312" w:hAnsi="仿宋" w:eastAsia="仿宋_GB2312"/>
          <w:sz w:val="32"/>
          <w:szCs w:val="32"/>
        </w:rPr>
      </w:pPr>
    </w:p>
    <w:p>
      <w:pPr>
        <w:spacing w:beforeLines="0" w:line="540" w:lineRule="exact"/>
        <w:ind w:firstLine="64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cs="宋体"/>
          <w:sz w:val="32"/>
          <w:szCs w:val="32"/>
        </w:rPr>
        <w:t>此件主动公开</w:t>
      </w:r>
      <w:r>
        <w:rPr>
          <w:rFonts w:hint="eastAsia" w:ascii="仿宋_GB2312" w:hAnsi="仿宋" w:eastAsia="仿宋_GB2312"/>
          <w:sz w:val="32"/>
          <w:szCs w:val="32"/>
        </w:rPr>
        <w:t>）</w:t>
      </w:r>
    </w:p>
    <w:p>
      <w:pPr>
        <w:spacing w:beforeLines="0" w:line="540" w:lineRule="exact"/>
        <w:ind w:firstLine="640"/>
        <w:rPr>
          <w:rFonts w:hint="eastAsia" w:ascii="仿宋_GB2312" w:hAnsi="黑体" w:eastAsia="仿宋_GB2312"/>
          <w:sz w:val="32"/>
          <w:szCs w:val="32"/>
        </w:rPr>
      </w:pPr>
    </w:p>
    <w:p>
      <w:pPr>
        <w:spacing w:beforeLines="0" w:line="540" w:lineRule="exact"/>
        <w:rPr>
          <w:rFonts w:hint="eastAsia" w:ascii="仿宋_GB2312" w:hAnsi="黑体" w:eastAsia="仿宋_GB2312"/>
          <w:sz w:val="32"/>
          <w:szCs w:val="32"/>
        </w:rPr>
      </w:pPr>
    </w:p>
    <w:p>
      <w:pPr>
        <w:spacing w:beforeLines="0" w:line="540" w:lineRule="exact"/>
        <w:rPr>
          <w:rFonts w:hint="eastAsia" w:ascii="仿宋_GB2312" w:hAnsi="黑体" w:eastAsia="仿宋_GB2312"/>
          <w:sz w:val="32"/>
          <w:szCs w:val="32"/>
        </w:rPr>
      </w:pPr>
    </w:p>
    <w:p>
      <w:pPr>
        <w:spacing w:beforeLines="0" w:line="540" w:lineRule="exact"/>
        <w:rPr>
          <w:rFonts w:hint="eastAsia" w:ascii="仿宋_GB2312" w:hAnsi="黑体" w:eastAsia="仿宋_GB2312"/>
          <w:sz w:val="32"/>
          <w:szCs w:val="32"/>
        </w:rPr>
      </w:pPr>
    </w:p>
    <w:p>
      <w:pPr>
        <w:spacing w:beforeLines="0" w:line="540" w:lineRule="exact"/>
        <w:rPr>
          <w:rFonts w:hint="eastAsia" w:ascii="仿宋_GB2312" w:hAnsi="黑体" w:eastAsia="仿宋_GB2312"/>
          <w:sz w:val="32"/>
          <w:szCs w:val="32"/>
        </w:rPr>
      </w:pPr>
    </w:p>
    <w:p>
      <w:pPr>
        <w:spacing w:beforeLines="0" w:line="540" w:lineRule="exact"/>
        <w:rPr>
          <w:rFonts w:hint="eastAsia" w:ascii="仿宋_GB2312" w:hAnsi="黑体" w:eastAsia="仿宋_GB2312"/>
          <w:sz w:val="32"/>
          <w:szCs w:val="32"/>
        </w:rPr>
      </w:pPr>
    </w:p>
    <w:p>
      <w:pPr>
        <w:spacing w:beforeLines="0" w:line="540" w:lineRule="exact"/>
        <w:rPr>
          <w:rFonts w:hint="eastAsia" w:ascii="仿宋_GB2312" w:hAnsi="黑体" w:eastAsia="仿宋_GB2312"/>
          <w:sz w:val="32"/>
          <w:szCs w:val="32"/>
        </w:rPr>
      </w:pPr>
    </w:p>
    <w:p>
      <w:pPr>
        <w:spacing w:beforeLines="0" w:line="540" w:lineRule="exact"/>
        <w:rPr>
          <w:rFonts w:hint="eastAsia" w:ascii="仿宋_GB2312" w:hAnsi="黑体" w:eastAsia="仿宋_GB2312"/>
          <w:sz w:val="32"/>
          <w:szCs w:val="32"/>
        </w:rPr>
      </w:pPr>
    </w:p>
    <w:p>
      <w:pPr>
        <w:spacing w:beforeLines="0" w:line="540" w:lineRule="exact"/>
        <w:rPr>
          <w:rFonts w:hint="eastAsia" w:ascii="仿宋_GB2312" w:hAnsi="黑体" w:eastAsia="仿宋_GB2312"/>
          <w:sz w:val="32"/>
          <w:szCs w:val="32"/>
        </w:rPr>
      </w:pPr>
    </w:p>
    <w:p>
      <w:pPr>
        <w:spacing w:beforeLines="0" w:line="540" w:lineRule="exact"/>
        <w:rPr>
          <w:rFonts w:hint="eastAsia" w:ascii="仿宋_GB2312" w:hAnsi="黑体" w:eastAsia="仿宋_GB2312"/>
          <w:sz w:val="32"/>
          <w:szCs w:val="32"/>
        </w:rPr>
      </w:pPr>
    </w:p>
    <w:p>
      <w:pPr>
        <w:spacing w:beforeLines="0" w:line="540" w:lineRule="exact"/>
        <w:rPr>
          <w:rFonts w:hint="eastAsia" w:ascii="仿宋_GB2312" w:hAnsi="黑体" w:eastAsia="仿宋_GB2312"/>
          <w:sz w:val="32"/>
          <w:szCs w:val="32"/>
        </w:rPr>
      </w:pPr>
    </w:p>
    <w:p>
      <w:pPr>
        <w:spacing w:beforeLines="0" w:line="540" w:lineRule="exact"/>
        <w:rPr>
          <w:rFonts w:hint="eastAsia" w:ascii="仿宋_GB2312" w:hAnsi="黑体" w:eastAsia="仿宋_GB2312"/>
          <w:sz w:val="32"/>
          <w:szCs w:val="32"/>
        </w:rPr>
      </w:pPr>
    </w:p>
    <w:p>
      <w:pPr>
        <w:spacing w:beforeLines="0" w:line="540" w:lineRule="exact"/>
        <w:rPr>
          <w:rFonts w:hint="eastAsia" w:ascii="仿宋_GB2312" w:hAnsi="黑体" w:eastAsia="仿宋_GB2312"/>
          <w:sz w:val="32"/>
          <w:szCs w:val="32"/>
        </w:rPr>
      </w:pPr>
    </w:p>
    <w:p>
      <w:pPr>
        <w:spacing w:beforeLines="0" w:line="540" w:lineRule="exact"/>
        <w:rPr>
          <w:rFonts w:hint="eastAsia" w:ascii="仿宋_GB2312" w:hAnsi="黑体" w:eastAsia="仿宋_GB2312"/>
          <w:sz w:val="32"/>
          <w:szCs w:val="32"/>
        </w:rPr>
      </w:pPr>
    </w:p>
    <w:p>
      <w:pPr>
        <w:spacing w:beforeLines="0" w:line="540" w:lineRule="exact"/>
        <w:rPr>
          <w:rFonts w:hint="eastAsia" w:ascii="仿宋_GB2312" w:hAnsi="黑体" w:eastAsia="仿宋_GB2312"/>
          <w:sz w:val="32"/>
          <w:szCs w:val="32"/>
        </w:rPr>
      </w:pPr>
      <w:r>
        <w:rPr>
          <w:rFonts w:hint="eastAsia" w:ascii="黑体" w:hAnsi="黑体" w:eastAsia="黑体"/>
          <w:sz w:val="32"/>
          <w:szCs w:val="32"/>
        </w:rPr>
        <w:t>附件1</w:t>
      </w:r>
    </w:p>
    <w:p>
      <w:pPr>
        <w:spacing w:beforeLines="0" w:after="156" w:afterLines="50" w:line="540" w:lineRule="exact"/>
        <w:ind w:left="45" w:right="45"/>
        <w:jc w:val="center"/>
        <w:rPr>
          <w:rFonts w:hint="eastAsia" w:ascii="宋体" w:hAnsi="宋体"/>
          <w:b/>
          <w:bCs/>
          <w:color w:val="1B1B1B"/>
          <w:spacing w:val="-4"/>
          <w:sz w:val="36"/>
          <w:szCs w:val="36"/>
        </w:rPr>
      </w:pPr>
      <w:r>
        <w:rPr>
          <w:rFonts w:hint="eastAsia" w:ascii="宋体" w:hAnsi="宋体"/>
          <w:b/>
          <w:bCs/>
          <w:color w:val="1B1B1B"/>
          <w:spacing w:val="-4"/>
          <w:sz w:val="36"/>
          <w:szCs w:val="36"/>
        </w:rPr>
        <w:t>福建省第五届科普讲解大赛报名表</w:t>
      </w:r>
    </w:p>
    <w:tbl>
      <w:tblPr>
        <w:tblStyle w:val="7"/>
        <w:tblW w:w="0" w:type="auto"/>
        <w:jc w:val="center"/>
        <w:tblLayout w:type="fixed"/>
        <w:tblCellMar>
          <w:top w:w="0" w:type="dxa"/>
          <w:left w:w="0" w:type="dxa"/>
          <w:bottom w:w="0" w:type="dxa"/>
          <w:right w:w="0" w:type="dxa"/>
        </w:tblCellMar>
      </w:tblPr>
      <w:tblGrid>
        <w:gridCol w:w="1639"/>
        <w:gridCol w:w="1280"/>
        <w:gridCol w:w="896"/>
        <w:gridCol w:w="823"/>
        <w:gridCol w:w="8"/>
        <w:gridCol w:w="1301"/>
        <w:gridCol w:w="1556"/>
        <w:gridCol w:w="1708"/>
      </w:tblGrid>
      <w:tr>
        <w:tblPrEx>
          <w:tblCellMar>
            <w:top w:w="0" w:type="dxa"/>
            <w:left w:w="0" w:type="dxa"/>
            <w:bottom w:w="0" w:type="dxa"/>
            <w:right w:w="0" w:type="dxa"/>
          </w:tblCellMar>
        </w:tblPrEx>
        <w:trPr>
          <w:trHeight w:val="567" w:hRule="atLeast"/>
          <w:jc w:val="center"/>
        </w:trPr>
        <w:tc>
          <w:tcPr>
            <w:tcW w:w="1639" w:type="dxa"/>
            <w:tcBorders>
              <w:top w:val="single" w:color="auto" w:sz="8" w:space="0"/>
              <w:left w:val="single" w:color="auto" w:sz="8" w:space="0"/>
              <w:bottom w:val="single" w:color="auto" w:sz="8" w:space="0"/>
              <w:right w:val="single" w:color="auto" w:sz="8" w:space="0"/>
            </w:tcBorders>
            <w:noWrap w:val="0"/>
            <w:vAlign w:val="center"/>
          </w:tcPr>
          <w:p>
            <w:pPr>
              <w:spacing w:before="0" w:beforeLines="0" w:beforeAutospacing="0" w:after="100" w:afterAutospacing="1" w:line="540" w:lineRule="exact"/>
              <w:jc w:val="center"/>
              <w:rPr>
                <w:rFonts w:hint="eastAsia" w:ascii="宋体" w:hAnsi="宋体" w:cs="宋体"/>
                <w:sz w:val="24"/>
              </w:rPr>
            </w:pPr>
            <w:r>
              <w:rPr>
                <w:rFonts w:hint="eastAsia" w:ascii="宋体" w:hAnsi="宋体" w:cs="宋体"/>
                <w:spacing w:val="-4"/>
                <w:sz w:val="24"/>
              </w:rPr>
              <w:t>姓名</w:t>
            </w:r>
          </w:p>
        </w:tc>
        <w:tc>
          <w:tcPr>
            <w:tcW w:w="1280" w:type="dxa"/>
            <w:tcBorders>
              <w:top w:val="single" w:color="auto" w:sz="8" w:space="0"/>
              <w:left w:val="nil"/>
              <w:bottom w:val="single" w:color="auto" w:sz="8" w:space="0"/>
              <w:right w:val="single" w:color="auto" w:sz="8" w:space="0"/>
            </w:tcBorders>
            <w:noWrap w:val="0"/>
            <w:vAlign w:val="center"/>
          </w:tcPr>
          <w:p>
            <w:pPr>
              <w:spacing w:before="0" w:beforeLines="0" w:beforeAutospacing="0" w:after="100" w:afterAutospacing="1" w:line="540" w:lineRule="exact"/>
              <w:jc w:val="center"/>
              <w:rPr>
                <w:rFonts w:hint="eastAsia" w:ascii="宋体" w:hAnsi="宋体" w:cs="宋体"/>
                <w:sz w:val="24"/>
              </w:rPr>
            </w:pPr>
          </w:p>
        </w:tc>
        <w:tc>
          <w:tcPr>
            <w:tcW w:w="896" w:type="dxa"/>
            <w:tcBorders>
              <w:top w:val="single" w:color="auto" w:sz="8" w:space="0"/>
              <w:left w:val="nil"/>
              <w:bottom w:val="single" w:color="auto" w:sz="8" w:space="0"/>
              <w:right w:val="single" w:color="auto" w:sz="4" w:space="0"/>
            </w:tcBorders>
            <w:noWrap w:val="0"/>
            <w:vAlign w:val="center"/>
          </w:tcPr>
          <w:p>
            <w:pPr>
              <w:spacing w:before="0" w:beforeLines="0" w:beforeAutospacing="0" w:after="100" w:afterAutospacing="1" w:line="540" w:lineRule="exact"/>
              <w:jc w:val="center"/>
              <w:rPr>
                <w:rFonts w:hint="eastAsia" w:ascii="宋体" w:hAnsi="宋体" w:cs="宋体"/>
                <w:sz w:val="24"/>
              </w:rPr>
            </w:pPr>
            <w:r>
              <w:rPr>
                <w:rFonts w:hint="eastAsia" w:ascii="宋体" w:hAnsi="宋体" w:cs="宋体"/>
                <w:spacing w:val="-4"/>
                <w:sz w:val="24"/>
              </w:rPr>
              <w:t>性别</w:t>
            </w: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before="0" w:beforeLines="0" w:beforeAutospacing="0" w:after="100" w:afterAutospacing="1" w:line="540" w:lineRule="exact"/>
              <w:jc w:val="center"/>
              <w:rPr>
                <w:rFonts w:hint="eastAsia" w:ascii="宋体" w:hAnsi="宋体" w:cs="宋体"/>
                <w:sz w:val="24"/>
              </w:rPr>
            </w:pPr>
          </w:p>
        </w:tc>
        <w:tc>
          <w:tcPr>
            <w:tcW w:w="130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before="0" w:beforeLines="0" w:beforeAutospacing="0" w:after="100" w:afterAutospacing="1" w:line="540" w:lineRule="exact"/>
              <w:jc w:val="center"/>
              <w:rPr>
                <w:rFonts w:hint="eastAsia" w:ascii="宋体" w:hAnsi="宋体" w:cs="宋体"/>
                <w:sz w:val="24"/>
              </w:rPr>
            </w:pPr>
            <w:r>
              <w:rPr>
                <w:rFonts w:hint="eastAsia" w:ascii="宋体" w:hAnsi="宋体" w:cs="宋体"/>
                <w:spacing w:val="-4"/>
                <w:sz w:val="24"/>
              </w:rPr>
              <w:t>民族</w:t>
            </w:r>
          </w:p>
        </w:tc>
        <w:tc>
          <w:tcPr>
            <w:tcW w:w="1556"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before="0" w:beforeLines="0" w:beforeAutospacing="0" w:after="100" w:afterAutospacing="1" w:line="540" w:lineRule="exact"/>
              <w:jc w:val="center"/>
              <w:rPr>
                <w:rFonts w:hint="eastAsia" w:ascii="宋体" w:hAnsi="宋体" w:cs="宋体"/>
                <w:sz w:val="24"/>
              </w:rPr>
            </w:pPr>
          </w:p>
        </w:tc>
        <w:tc>
          <w:tcPr>
            <w:tcW w:w="1708" w:type="dxa"/>
            <w:vMerge w:val="restart"/>
            <w:tcBorders>
              <w:top w:val="single" w:color="auto" w:sz="8" w:space="0"/>
              <w:left w:val="single" w:color="auto" w:sz="4" w:space="0"/>
              <w:bottom w:val="single" w:color="auto" w:sz="8" w:space="0"/>
              <w:right w:val="single" w:color="auto" w:sz="8" w:space="0"/>
            </w:tcBorders>
            <w:noWrap w:val="0"/>
            <w:tcMar>
              <w:top w:w="57" w:type="dxa"/>
              <w:left w:w="57" w:type="dxa"/>
              <w:bottom w:w="57" w:type="dxa"/>
              <w:right w:w="57" w:type="dxa"/>
            </w:tcMar>
            <w:vAlign w:val="center"/>
          </w:tcPr>
          <w:p>
            <w:pPr>
              <w:spacing w:before="0" w:beforeLines="0" w:beforeAutospacing="0" w:after="100" w:afterAutospacing="1" w:line="540" w:lineRule="exact"/>
              <w:jc w:val="center"/>
              <w:rPr>
                <w:rFonts w:hint="eastAsia" w:ascii="宋体" w:hAnsi="宋体" w:cs="宋体"/>
                <w:sz w:val="24"/>
              </w:rPr>
            </w:pPr>
            <w:r>
              <w:rPr>
                <w:rFonts w:hint="eastAsia" w:ascii="宋体" w:hAnsi="宋体"/>
                <w:spacing w:val="-4"/>
                <w:sz w:val="24"/>
              </w:rPr>
              <w:t>（</w:t>
            </w:r>
            <w:r>
              <w:rPr>
                <w:rFonts w:hint="eastAsia" w:ascii="宋体" w:hAnsi="宋体" w:cs="宋体"/>
                <w:spacing w:val="-4"/>
                <w:sz w:val="24"/>
              </w:rPr>
              <w:t>照片</w:t>
            </w:r>
            <w:r>
              <w:rPr>
                <w:rFonts w:hint="eastAsia" w:ascii="宋体" w:hAnsi="宋体" w:cs="Malgun Gothic Semilight"/>
                <w:spacing w:val="-4"/>
                <w:sz w:val="24"/>
              </w:rPr>
              <w:t>）</w:t>
            </w:r>
          </w:p>
        </w:tc>
      </w:tr>
      <w:tr>
        <w:tblPrEx>
          <w:tblCellMar>
            <w:top w:w="0" w:type="dxa"/>
            <w:left w:w="0" w:type="dxa"/>
            <w:bottom w:w="0" w:type="dxa"/>
            <w:right w:w="0" w:type="dxa"/>
          </w:tblCellMar>
        </w:tblPrEx>
        <w:trPr>
          <w:trHeight w:val="602" w:hRule="atLeast"/>
          <w:jc w:val="center"/>
        </w:trPr>
        <w:tc>
          <w:tcPr>
            <w:tcW w:w="1639" w:type="dxa"/>
            <w:tcBorders>
              <w:top w:val="nil"/>
              <w:left w:val="single" w:color="auto" w:sz="8" w:space="0"/>
              <w:bottom w:val="single" w:color="auto" w:sz="8" w:space="0"/>
              <w:right w:val="single" w:color="auto" w:sz="8" w:space="0"/>
            </w:tcBorders>
            <w:noWrap w:val="0"/>
            <w:tcMar>
              <w:top w:w="57" w:type="dxa"/>
              <w:left w:w="57" w:type="dxa"/>
              <w:bottom w:w="57" w:type="dxa"/>
              <w:right w:w="57" w:type="dxa"/>
            </w:tcMar>
            <w:vAlign w:val="center"/>
          </w:tcPr>
          <w:p>
            <w:pPr>
              <w:spacing w:before="0" w:beforeLines="0" w:beforeAutospacing="0" w:after="100" w:afterAutospacing="1" w:line="540" w:lineRule="exact"/>
              <w:jc w:val="center"/>
              <w:rPr>
                <w:rFonts w:hint="eastAsia" w:ascii="宋体" w:hAnsi="宋体" w:cs="宋体"/>
                <w:sz w:val="24"/>
              </w:rPr>
            </w:pPr>
            <w:r>
              <w:rPr>
                <w:rFonts w:hint="eastAsia" w:ascii="宋体" w:hAnsi="宋体" w:cs="宋体"/>
                <w:spacing w:val="-4"/>
                <w:sz w:val="24"/>
              </w:rPr>
              <w:t>联系电话</w:t>
            </w:r>
          </w:p>
        </w:tc>
        <w:tc>
          <w:tcPr>
            <w:tcW w:w="2999" w:type="dxa"/>
            <w:gridSpan w:val="3"/>
            <w:tcBorders>
              <w:top w:val="nil"/>
              <w:left w:val="nil"/>
              <w:bottom w:val="single" w:color="auto" w:sz="8" w:space="0"/>
              <w:right w:val="single" w:color="auto" w:sz="4" w:space="0"/>
            </w:tcBorders>
            <w:noWrap w:val="0"/>
            <w:tcMar>
              <w:top w:w="57" w:type="dxa"/>
              <w:left w:w="57" w:type="dxa"/>
              <w:bottom w:w="57" w:type="dxa"/>
              <w:right w:w="57" w:type="dxa"/>
            </w:tcMar>
            <w:vAlign w:val="center"/>
          </w:tcPr>
          <w:p>
            <w:pPr>
              <w:spacing w:before="0" w:beforeLines="0" w:beforeAutospacing="0" w:after="100" w:afterAutospacing="1" w:line="540" w:lineRule="exact"/>
              <w:jc w:val="center"/>
              <w:rPr>
                <w:rFonts w:hint="eastAsia" w:ascii="宋体" w:hAnsi="宋体" w:cs="宋体"/>
                <w:sz w:val="24"/>
              </w:rPr>
            </w:pPr>
          </w:p>
        </w:tc>
        <w:tc>
          <w:tcPr>
            <w:tcW w:w="1309" w:type="dxa"/>
            <w:gridSpan w:val="2"/>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before="0" w:beforeLines="0" w:beforeAutospacing="0" w:after="100" w:afterAutospacing="1" w:line="540" w:lineRule="exact"/>
              <w:jc w:val="center"/>
              <w:rPr>
                <w:rFonts w:hint="eastAsia" w:ascii="宋体" w:hAnsi="宋体" w:cs="宋体"/>
                <w:sz w:val="24"/>
              </w:rPr>
            </w:pPr>
            <w:r>
              <w:rPr>
                <w:rFonts w:hint="eastAsia" w:ascii="宋体" w:hAnsi="宋体" w:cs="宋体"/>
                <w:spacing w:val="-20"/>
                <w:sz w:val="24"/>
              </w:rPr>
              <w:t>出生年月</w:t>
            </w:r>
          </w:p>
        </w:tc>
        <w:tc>
          <w:tcPr>
            <w:tcW w:w="1556"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before="0" w:beforeLines="0" w:beforeAutospacing="0" w:after="100" w:afterAutospacing="1" w:line="540" w:lineRule="exact"/>
              <w:jc w:val="center"/>
              <w:rPr>
                <w:rFonts w:hint="eastAsia" w:ascii="宋体" w:hAnsi="宋体" w:cs="宋体"/>
                <w:sz w:val="24"/>
              </w:rPr>
            </w:pPr>
          </w:p>
        </w:tc>
        <w:tc>
          <w:tcPr>
            <w:tcW w:w="1708" w:type="dxa"/>
            <w:vMerge w:val="continue"/>
            <w:tcBorders>
              <w:top w:val="single" w:color="auto" w:sz="8" w:space="0"/>
              <w:left w:val="single" w:color="auto" w:sz="4" w:space="0"/>
              <w:bottom w:val="single" w:color="auto" w:sz="8" w:space="0"/>
              <w:right w:val="single" w:color="auto" w:sz="8" w:space="0"/>
            </w:tcBorders>
            <w:noWrap w:val="0"/>
            <w:vAlign w:val="center"/>
          </w:tcPr>
          <w:p>
            <w:pPr>
              <w:spacing w:before="0" w:beforeLines="0" w:beforeAutospacing="0" w:after="100" w:afterAutospacing="1" w:line="540" w:lineRule="exact"/>
              <w:jc w:val="center"/>
              <w:rPr>
                <w:rFonts w:hint="eastAsia" w:ascii="宋体" w:hAnsi="宋体" w:cs="宋体"/>
                <w:sz w:val="24"/>
              </w:rPr>
            </w:pPr>
          </w:p>
        </w:tc>
      </w:tr>
      <w:tr>
        <w:tblPrEx>
          <w:tblCellMar>
            <w:top w:w="0" w:type="dxa"/>
            <w:left w:w="0" w:type="dxa"/>
            <w:bottom w:w="0" w:type="dxa"/>
            <w:right w:w="0" w:type="dxa"/>
          </w:tblCellMar>
        </w:tblPrEx>
        <w:trPr>
          <w:trHeight w:val="622" w:hRule="atLeast"/>
          <w:jc w:val="center"/>
        </w:trPr>
        <w:tc>
          <w:tcPr>
            <w:tcW w:w="1639" w:type="dxa"/>
            <w:tcBorders>
              <w:top w:val="nil"/>
              <w:left w:val="single" w:color="auto" w:sz="8" w:space="0"/>
              <w:bottom w:val="single" w:color="auto" w:sz="8" w:space="0"/>
              <w:right w:val="single" w:color="auto" w:sz="8" w:space="0"/>
            </w:tcBorders>
            <w:noWrap w:val="0"/>
            <w:tcMar>
              <w:top w:w="57" w:type="dxa"/>
              <w:left w:w="57" w:type="dxa"/>
              <w:bottom w:w="57" w:type="dxa"/>
              <w:right w:w="57" w:type="dxa"/>
            </w:tcMar>
            <w:vAlign w:val="center"/>
          </w:tcPr>
          <w:p>
            <w:pPr>
              <w:spacing w:before="0" w:beforeLines="0" w:beforeAutospacing="0" w:after="100" w:afterAutospacing="1" w:line="540" w:lineRule="exact"/>
              <w:jc w:val="center"/>
              <w:rPr>
                <w:rFonts w:hint="eastAsia" w:ascii="宋体" w:hAnsi="宋体" w:cs="宋体"/>
                <w:sz w:val="24"/>
              </w:rPr>
            </w:pPr>
            <w:r>
              <w:rPr>
                <w:rFonts w:hint="eastAsia" w:ascii="宋体" w:hAnsi="宋体" w:cs="宋体"/>
                <w:spacing w:val="-4"/>
                <w:sz w:val="24"/>
              </w:rPr>
              <w:t>工作单位</w:t>
            </w:r>
          </w:p>
        </w:tc>
        <w:tc>
          <w:tcPr>
            <w:tcW w:w="5864" w:type="dxa"/>
            <w:gridSpan w:val="6"/>
            <w:tcBorders>
              <w:top w:val="nil"/>
              <w:left w:val="nil"/>
              <w:bottom w:val="single" w:color="auto" w:sz="8" w:space="0"/>
              <w:right w:val="single" w:color="auto" w:sz="8" w:space="0"/>
            </w:tcBorders>
            <w:noWrap w:val="0"/>
            <w:tcMar>
              <w:top w:w="57" w:type="dxa"/>
              <w:left w:w="57" w:type="dxa"/>
              <w:bottom w:w="57" w:type="dxa"/>
              <w:right w:w="57" w:type="dxa"/>
            </w:tcMar>
            <w:vAlign w:val="center"/>
          </w:tcPr>
          <w:p>
            <w:pPr>
              <w:spacing w:before="0" w:beforeLines="0" w:beforeAutospacing="0" w:after="100" w:afterAutospacing="1" w:line="540" w:lineRule="exact"/>
              <w:jc w:val="center"/>
              <w:rPr>
                <w:rFonts w:hint="eastAsia" w:ascii="宋体" w:hAnsi="宋体" w:cs="宋体"/>
                <w:sz w:val="24"/>
              </w:rPr>
            </w:pPr>
          </w:p>
        </w:tc>
        <w:tc>
          <w:tcPr>
            <w:tcW w:w="1708" w:type="dxa"/>
            <w:vMerge w:val="continue"/>
            <w:tcBorders>
              <w:top w:val="single" w:color="auto" w:sz="8" w:space="0"/>
              <w:left w:val="nil"/>
              <w:bottom w:val="single" w:color="auto" w:sz="8" w:space="0"/>
              <w:right w:val="single" w:color="auto" w:sz="8" w:space="0"/>
            </w:tcBorders>
            <w:noWrap w:val="0"/>
            <w:vAlign w:val="center"/>
          </w:tcPr>
          <w:p>
            <w:pPr>
              <w:spacing w:before="0" w:beforeLines="0" w:beforeAutospacing="0" w:after="100" w:afterAutospacing="1" w:line="540" w:lineRule="exact"/>
              <w:jc w:val="center"/>
              <w:rPr>
                <w:rFonts w:hint="eastAsia" w:ascii="宋体" w:hAnsi="宋体" w:cs="宋体"/>
                <w:sz w:val="24"/>
              </w:rPr>
            </w:pPr>
          </w:p>
        </w:tc>
      </w:tr>
      <w:tr>
        <w:tblPrEx>
          <w:tblCellMar>
            <w:top w:w="0" w:type="dxa"/>
            <w:left w:w="0" w:type="dxa"/>
            <w:bottom w:w="0" w:type="dxa"/>
            <w:right w:w="0" w:type="dxa"/>
          </w:tblCellMar>
        </w:tblPrEx>
        <w:trPr>
          <w:trHeight w:val="569" w:hRule="atLeast"/>
          <w:jc w:val="center"/>
        </w:trPr>
        <w:tc>
          <w:tcPr>
            <w:tcW w:w="1639" w:type="dxa"/>
            <w:tcBorders>
              <w:top w:val="nil"/>
              <w:left w:val="single" w:color="auto" w:sz="8" w:space="0"/>
              <w:bottom w:val="single" w:color="auto" w:sz="8" w:space="0"/>
              <w:right w:val="single" w:color="auto" w:sz="8" w:space="0"/>
            </w:tcBorders>
            <w:noWrap w:val="0"/>
            <w:vAlign w:val="center"/>
          </w:tcPr>
          <w:p>
            <w:pPr>
              <w:spacing w:before="0" w:beforeLines="0" w:beforeAutospacing="0" w:after="100" w:afterAutospacing="1" w:line="540" w:lineRule="exact"/>
              <w:jc w:val="center"/>
              <w:rPr>
                <w:rFonts w:hint="eastAsia" w:ascii="宋体" w:hAnsi="宋体"/>
                <w:sz w:val="24"/>
              </w:rPr>
            </w:pPr>
            <w:r>
              <w:rPr>
                <w:rFonts w:hint="eastAsia" w:ascii="宋体" w:hAnsi="宋体" w:cs="宋体"/>
                <w:spacing w:val="-4"/>
                <w:sz w:val="24"/>
              </w:rPr>
              <w:t>职务/</w:t>
            </w:r>
            <w:r>
              <w:rPr>
                <w:rFonts w:hint="eastAsia" w:ascii="宋体" w:hAnsi="宋体" w:cs="Malgun Gothic Semilight"/>
                <w:spacing w:val="-4"/>
                <w:sz w:val="24"/>
              </w:rPr>
              <w:t>职</w:t>
            </w:r>
            <w:r>
              <w:rPr>
                <w:rFonts w:hint="eastAsia" w:ascii="宋体" w:hAnsi="宋体" w:cs="宋体"/>
                <w:spacing w:val="-4"/>
                <w:sz w:val="24"/>
              </w:rPr>
              <w:t>称</w:t>
            </w:r>
          </w:p>
        </w:tc>
        <w:tc>
          <w:tcPr>
            <w:tcW w:w="3007" w:type="dxa"/>
            <w:gridSpan w:val="4"/>
            <w:tcBorders>
              <w:top w:val="nil"/>
              <w:left w:val="nil"/>
              <w:bottom w:val="single" w:color="auto" w:sz="8" w:space="0"/>
              <w:right w:val="single" w:color="auto" w:sz="8" w:space="0"/>
            </w:tcBorders>
            <w:noWrap w:val="0"/>
            <w:vAlign w:val="center"/>
          </w:tcPr>
          <w:p>
            <w:pPr>
              <w:spacing w:before="0" w:beforeLines="0" w:beforeAutospacing="0" w:after="100" w:afterAutospacing="1" w:line="540" w:lineRule="exact"/>
              <w:jc w:val="center"/>
              <w:rPr>
                <w:rFonts w:hint="eastAsia" w:ascii="宋体" w:hAnsi="宋体" w:cs="宋体"/>
                <w:sz w:val="24"/>
              </w:rPr>
            </w:pPr>
          </w:p>
        </w:tc>
        <w:tc>
          <w:tcPr>
            <w:tcW w:w="1301" w:type="dxa"/>
            <w:tcBorders>
              <w:top w:val="nil"/>
              <w:left w:val="nil"/>
              <w:bottom w:val="single" w:color="auto" w:sz="8" w:space="0"/>
              <w:right w:val="single" w:color="auto" w:sz="8" w:space="0"/>
            </w:tcBorders>
            <w:noWrap w:val="0"/>
            <w:tcMar>
              <w:top w:w="57" w:type="dxa"/>
              <w:left w:w="57" w:type="dxa"/>
              <w:bottom w:w="57" w:type="dxa"/>
              <w:right w:w="57" w:type="dxa"/>
            </w:tcMar>
            <w:vAlign w:val="center"/>
          </w:tcPr>
          <w:p>
            <w:pPr>
              <w:spacing w:before="0" w:beforeLines="0" w:beforeAutospacing="0" w:after="100" w:afterAutospacing="1" w:line="540" w:lineRule="exact"/>
              <w:jc w:val="center"/>
              <w:rPr>
                <w:rFonts w:hint="eastAsia" w:ascii="宋体" w:hAnsi="宋体" w:cs="宋体"/>
                <w:sz w:val="24"/>
              </w:rPr>
            </w:pPr>
            <w:r>
              <w:rPr>
                <w:rFonts w:hint="eastAsia" w:ascii="宋体" w:hAnsi="宋体" w:cs="宋体"/>
                <w:spacing w:val="-20"/>
                <w:sz w:val="24"/>
              </w:rPr>
              <w:t>文化程度</w:t>
            </w:r>
          </w:p>
        </w:tc>
        <w:tc>
          <w:tcPr>
            <w:tcW w:w="3264" w:type="dxa"/>
            <w:gridSpan w:val="2"/>
            <w:tcBorders>
              <w:top w:val="single" w:color="auto" w:sz="8" w:space="0"/>
              <w:left w:val="nil"/>
              <w:bottom w:val="single" w:color="auto" w:sz="8" w:space="0"/>
              <w:right w:val="single" w:color="auto" w:sz="8" w:space="0"/>
            </w:tcBorders>
            <w:noWrap w:val="0"/>
            <w:tcMar>
              <w:top w:w="57" w:type="dxa"/>
              <w:left w:w="57" w:type="dxa"/>
              <w:bottom w:w="57" w:type="dxa"/>
              <w:right w:w="57" w:type="dxa"/>
            </w:tcMar>
            <w:vAlign w:val="center"/>
          </w:tcPr>
          <w:p>
            <w:pPr>
              <w:spacing w:before="0" w:beforeLines="0" w:beforeAutospacing="0" w:after="100" w:afterAutospacing="1" w:line="540" w:lineRule="exact"/>
              <w:jc w:val="center"/>
              <w:rPr>
                <w:rFonts w:hint="eastAsia" w:ascii="宋体" w:hAnsi="宋体" w:cs="宋体"/>
                <w:sz w:val="24"/>
              </w:rPr>
            </w:pPr>
          </w:p>
        </w:tc>
      </w:tr>
      <w:tr>
        <w:tblPrEx>
          <w:tblCellMar>
            <w:top w:w="0" w:type="dxa"/>
            <w:left w:w="0" w:type="dxa"/>
            <w:bottom w:w="0" w:type="dxa"/>
            <w:right w:w="0" w:type="dxa"/>
          </w:tblCellMar>
        </w:tblPrEx>
        <w:trPr>
          <w:trHeight w:val="941" w:hRule="atLeast"/>
          <w:jc w:val="center"/>
        </w:trPr>
        <w:tc>
          <w:tcPr>
            <w:tcW w:w="1639" w:type="dxa"/>
            <w:tcBorders>
              <w:top w:val="nil"/>
              <w:left w:val="single" w:color="auto" w:sz="8" w:space="0"/>
              <w:bottom w:val="single" w:color="auto" w:sz="8" w:space="0"/>
              <w:right w:val="single" w:color="auto" w:sz="8" w:space="0"/>
            </w:tcBorders>
            <w:noWrap w:val="0"/>
            <w:tcMar>
              <w:top w:w="57" w:type="dxa"/>
              <w:left w:w="57" w:type="dxa"/>
              <w:bottom w:w="57" w:type="dxa"/>
              <w:right w:w="57" w:type="dxa"/>
            </w:tcMar>
            <w:vAlign w:val="center"/>
          </w:tcPr>
          <w:p>
            <w:pPr>
              <w:spacing w:before="0" w:beforeLines="0" w:beforeAutospacing="0" w:after="100" w:afterAutospacing="1" w:line="540" w:lineRule="exact"/>
              <w:jc w:val="center"/>
              <w:rPr>
                <w:rFonts w:hint="eastAsia" w:ascii="宋体" w:hAnsi="宋体"/>
                <w:sz w:val="24"/>
              </w:rPr>
            </w:pPr>
            <w:r>
              <w:rPr>
                <w:rFonts w:hint="eastAsia" w:ascii="宋体" w:hAnsi="宋体" w:cs="宋体"/>
                <w:spacing w:val="-4"/>
                <w:sz w:val="24"/>
              </w:rPr>
              <w:t>讲解主题</w:t>
            </w:r>
          </w:p>
        </w:tc>
        <w:tc>
          <w:tcPr>
            <w:tcW w:w="7572" w:type="dxa"/>
            <w:gridSpan w:val="7"/>
            <w:tcBorders>
              <w:top w:val="nil"/>
              <w:left w:val="nil"/>
              <w:bottom w:val="single" w:color="auto" w:sz="8" w:space="0"/>
              <w:right w:val="single" w:color="auto" w:sz="8" w:space="0"/>
            </w:tcBorders>
            <w:noWrap w:val="0"/>
            <w:tcMar>
              <w:top w:w="57" w:type="dxa"/>
              <w:left w:w="57" w:type="dxa"/>
              <w:bottom w:w="57" w:type="dxa"/>
              <w:right w:w="57" w:type="dxa"/>
            </w:tcMar>
            <w:vAlign w:val="center"/>
          </w:tcPr>
          <w:p>
            <w:pPr>
              <w:spacing w:before="0" w:beforeLines="0" w:beforeAutospacing="0" w:after="100" w:afterAutospacing="1" w:line="540" w:lineRule="exact"/>
              <w:jc w:val="center"/>
              <w:rPr>
                <w:rFonts w:hint="eastAsia" w:ascii="宋体" w:hAnsi="宋体"/>
                <w:sz w:val="24"/>
              </w:rPr>
            </w:pPr>
          </w:p>
          <w:p>
            <w:pPr>
              <w:spacing w:before="0" w:beforeLines="0" w:beforeAutospacing="0" w:after="100" w:afterAutospacing="1" w:line="540" w:lineRule="exact"/>
              <w:jc w:val="center"/>
              <w:rPr>
                <w:rFonts w:hint="eastAsia" w:ascii="宋体" w:hAnsi="宋体"/>
                <w:spacing w:val="-4"/>
                <w:sz w:val="24"/>
              </w:rPr>
            </w:pPr>
          </w:p>
        </w:tc>
      </w:tr>
      <w:tr>
        <w:tblPrEx>
          <w:tblCellMar>
            <w:top w:w="0" w:type="dxa"/>
            <w:left w:w="0" w:type="dxa"/>
            <w:bottom w:w="0" w:type="dxa"/>
            <w:right w:w="0" w:type="dxa"/>
          </w:tblCellMar>
        </w:tblPrEx>
        <w:trPr>
          <w:trHeight w:val="2142" w:hRule="atLeast"/>
          <w:jc w:val="center"/>
        </w:trPr>
        <w:tc>
          <w:tcPr>
            <w:tcW w:w="1639" w:type="dxa"/>
            <w:tcBorders>
              <w:top w:val="nil"/>
              <w:left w:val="single" w:color="auto" w:sz="8" w:space="0"/>
              <w:bottom w:val="single" w:color="auto" w:sz="8" w:space="0"/>
              <w:right w:val="single" w:color="auto" w:sz="8" w:space="0"/>
            </w:tcBorders>
            <w:noWrap w:val="0"/>
            <w:tcMar>
              <w:top w:w="57" w:type="dxa"/>
              <w:left w:w="57" w:type="dxa"/>
              <w:bottom w:w="57" w:type="dxa"/>
              <w:right w:w="57" w:type="dxa"/>
            </w:tcMar>
            <w:vAlign w:val="center"/>
          </w:tcPr>
          <w:p>
            <w:pPr>
              <w:spacing w:before="0" w:beforeLines="0" w:beforeAutospacing="0" w:after="100" w:afterAutospacing="1" w:line="540" w:lineRule="exact"/>
              <w:jc w:val="center"/>
              <w:rPr>
                <w:rFonts w:hint="eastAsia" w:ascii="宋体" w:hAnsi="宋体" w:cs="宋体"/>
                <w:spacing w:val="-4"/>
                <w:sz w:val="24"/>
              </w:rPr>
            </w:pPr>
            <w:r>
              <w:rPr>
                <w:rFonts w:hint="eastAsia" w:ascii="宋体" w:hAnsi="宋体" w:cs="宋体"/>
                <w:spacing w:val="-4"/>
                <w:sz w:val="24"/>
              </w:rPr>
              <w:t>推荐单位</w:t>
            </w:r>
          </w:p>
          <w:p>
            <w:pPr>
              <w:spacing w:before="0" w:beforeLines="0" w:beforeAutospacing="0" w:after="100" w:afterAutospacing="1" w:line="540" w:lineRule="exact"/>
              <w:jc w:val="center"/>
              <w:rPr>
                <w:rFonts w:hint="eastAsia" w:ascii="宋体" w:hAnsi="宋体" w:cs="宋体"/>
                <w:sz w:val="24"/>
              </w:rPr>
            </w:pPr>
            <w:r>
              <w:rPr>
                <w:rFonts w:hint="eastAsia" w:ascii="宋体" w:hAnsi="宋体" w:cs="宋体"/>
                <w:spacing w:val="-4"/>
                <w:sz w:val="24"/>
              </w:rPr>
              <w:t>意见</w:t>
            </w:r>
          </w:p>
        </w:tc>
        <w:tc>
          <w:tcPr>
            <w:tcW w:w="7572" w:type="dxa"/>
            <w:gridSpan w:val="7"/>
            <w:tcBorders>
              <w:top w:val="nil"/>
              <w:left w:val="nil"/>
              <w:bottom w:val="single" w:color="auto" w:sz="8" w:space="0"/>
              <w:right w:val="single" w:color="auto" w:sz="8" w:space="0"/>
            </w:tcBorders>
            <w:noWrap w:val="0"/>
            <w:tcMar>
              <w:top w:w="57" w:type="dxa"/>
              <w:left w:w="57" w:type="dxa"/>
              <w:bottom w:w="57" w:type="dxa"/>
              <w:right w:w="57" w:type="dxa"/>
            </w:tcMar>
            <w:vAlign w:val="center"/>
          </w:tcPr>
          <w:p>
            <w:pPr>
              <w:spacing w:before="0" w:beforeLines="0" w:beforeAutospacing="0" w:after="100" w:afterAutospacing="1" w:line="540" w:lineRule="exact"/>
              <w:ind w:firstLine="0" w:firstLineChars="0"/>
              <w:rPr>
                <w:rFonts w:hint="eastAsia" w:ascii="宋体" w:hAnsi="宋体"/>
                <w:spacing w:val="-4"/>
                <w:sz w:val="24"/>
                <w:lang w:val="en-US" w:eastAsia="zh-CN"/>
              </w:rPr>
            </w:pPr>
            <w:r>
              <w:rPr>
                <w:rFonts w:hint="eastAsia" w:ascii="宋体" w:hAnsi="宋体"/>
                <w:spacing w:val="-4"/>
                <w:sz w:val="24"/>
                <w:lang w:val="en-US" w:eastAsia="zh-CN"/>
              </w:rPr>
              <w:t xml:space="preserve">             </w:t>
            </w:r>
          </w:p>
          <w:p>
            <w:pPr>
              <w:spacing w:before="0" w:beforeLines="0" w:beforeAutospacing="0" w:after="100" w:afterAutospacing="1" w:line="540" w:lineRule="exact"/>
              <w:ind w:firstLine="0" w:firstLineChars="0"/>
              <w:jc w:val="center"/>
              <w:rPr>
                <w:rFonts w:hint="eastAsia" w:ascii="宋体" w:hAnsi="宋体" w:cs="Malgun Gothic Semilight"/>
                <w:spacing w:val="-4"/>
                <w:sz w:val="24"/>
                <w:lang w:val="en-US" w:eastAsia="zh-CN"/>
              </w:rPr>
            </w:pPr>
            <w:r>
              <w:rPr>
                <w:rFonts w:hint="eastAsia" w:ascii="宋体" w:hAnsi="宋体"/>
                <w:spacing w:val="-4"/>
                <w:sz w:val="24"/>
                <w:lang w:val="en-US" w:eastAsia="zh-CN"/>
              </w:rPr>
              <w:t xml:space="preserve">                       </w:t>
            </w:r>
            <w:r>
              <w:rPr>
                <w:rFonts w:hint="eastAsia" w:ascii="宋体" w:hAnsi="宋体"/>
                <w:spacing w:val="-4"/>
                <w:sz w:val="24"/>
              </w:rPr>
              <w:t>（</w:t>
            </w:r>
            <w:r>
              <w:rPr>
                <w:rFonts w:hint="eastAsia" w:ascii="宋体" w:hAnsi="宋体" w:cs="宋体"/>
                <w:spacing w:val="-4"/>
                <w:sz w:val="24"/>
              </w:rPr>
              <w:t>盖章</w:t>
            </w:r>
            <w:r>
              <w:rPr>
                <w:rFonts w:hint="eastAsia" w:ascii="宋体" w:hAnsi="宋体" w:cs="Malgun Gothic Semilight"/>
                <w:spacing w:val="-4"/>
                <w:sz w:val="24"/>
              </w:rPr>
              <w:t>）</w:t>
            </w:r>
            <w:r>
              <w:rPr>
                <w:rFonts w:hint="eastAsia" w:ascii="宋体" w:hAnsi="宋体" w:cs="Malgun Gothic Semilight"/>
                <w:spacing w:val="-4"/>
                <w:sz w:val="24"/>
                <w:lang w:val="en-US" w:eastAsia="zh-CN"/>
              </w:rPr>
              <w:t xml:space="preserve">     </w:t>
            </w:r>
          </w:p>
          <w:p>
            <w:pPr>
              <w:spacing w:before="0" w:beforeLines="0" w:beforeAutospacing="0" w:after="100" w:afterAutospacing="1" w:line="540" w:lineRule="exact"/>
              <w:ind w:firstLine="0" w:firstLineChars="0"/>
              <w:jc w:val="center"/>
              <w:rPr>
                <w:rFonts w:hint="eastAsia" w:ascii="宋体" w:hAnsi="宋体" w:cs="宋体"/>
                <w:sz w:val="24"/>
              </w:rPr>
            </w:pPr>
            <w:r>
              <w:rPr>
                <w:rFonts w:hint="eastAsia" w:ascii="宋体" w:hAnsi="宋体" w:cs="Malgun Gothic Semilight"/>
                <w:spacing w:val="-4"/>
                <w:sz w:val="24"/>
                <w:lang w:val="en-US" w:eastAsia="zh-CN"/>
              </w:rPr>
              <w:t xml:space="preserve">                           </w:t>
            </w:r>
            <w:r>
              <w:rPr>
                <w:rFonts w:hint="eastAsia" w:ascii="宋体" w:hAnsi="宋体" w:cs="宋体"/>
                <w:spacing w:val="-4"/>
                <w:sz w:val="24"/>
              </w:rPr>
              <w:t xml:space="preserve">年     </w:t>
            </w:r>
            <w:r>
              <w:rPr>
                <w:rFonts w:hint="eastAsia" w:ascii="宋体" w:hAnsi="宋体"/>
                <w:spacing w:val="-4"/>
                <w:sz w:val="24"/>
              </w:rPr>
              <w:t xml:space="preserve"> </w:t>
            </w:r>
            <w:r>
              <w:rPr>
                <w:rFonts w:hint="eastAsia" w:ascii="宋体" w:hAnsi="宋体" w:cs="宋体"/>
                <w:spacing w:val="-4"/>
                <w:sz w:val="24"/>
              </w:rPr>
              <w:t xml:space="preserve">月    </w:t>
            </w:r>
            <w:r>
              <w:rPr>
                <w:rFonts w:hint="eastAsia" w:ascii="宋体" w:hAnsi="宋体"/>
                <w:spacing w:val="-4"/>
                <w:sz w:val="24"/>
              </w:rPr>
              <w:t xml:space="preserve"> </w:t>
            </w:r>
            <w:r>
              <w:rPr>
                <w:rFonts w:hint="eastAsia" w:ascii="宋体" w:hAnsi="宋体" w:cs="宋体"/>
                <w:spacing w:val="-4"/>
                <w:sz w:val="24"/>
              </w:rPr>
              <w:t>日</w:t>
            </w:r>
          </w:p>
        </w:tc>
      </w:tr>
      <w:tr>
        <w:tblPrEx>
          <w:tblCellMar>
            <w:top w:w="0" w:type="dxa"/>
            <w:left w:w="0" w:type="dxa"/>
            <w:bottom w:w="0" w:type="dxa"/>
            <w:right w:w="0" w:type="dxa"/>
          </w:tblCellMar>
        </w:tblPrEx>
        <w:trPr>
          <w:trHeight w:val="972" w:hRule="atLeast"/>
          <w:jc w:val="center"/>
        </w:trPr>
        <w:tc>
          <w:tcPr>
            <w:tcW w:w="1639" w:type="dxa"/>
            <w:tcBorders>
              <w:top w:val="nil"/>
              <w:left w:val="single" w:color="auto" w:sz="8" w:space="0"/>
              <w:bottom w:val="single" w:color="auto" w:sz="8" w:space="0"/>
              <w:right w:val="single" w:color="auto" w:sz="8" w:space="0"/>
            </w:tcBorders>
            <w:noWrap w:val="0"/>
            <w:tcMar>
              <w:top w:w="57" w:type="dxa"/>
              <w:left w:w="57" w:type="dxa"/>
              <w:bottom w:w="57" w:type="dxa"/>
              <w:right w:w="57" w:type="dxa"/>
            </w:tcMar>
            <w:vAlign w:val="center"/>
          </w:tcPr>
          <w:p>
            <w:pPr>
              <w:spacing w:before="0" w:beforeLines="0" w:beforeAutospacing="0" w:after="100" w:afterAutospacing="1" w:line="540" w:lineRule="exact"/>
              <w:jc w:val="center"/>
              <w:rPr>
                <w:rFonts w:hint="eastAsia" w:ascii="宋体" w:hAnsi="宋体" w:cs="宋体"/>
                <w:sz w:val="24"/>
              </w:rPr>
            </w:pPr>
            <w:r>
              <w:rPr>
                <w:rFonts w:hint="eastAsia" w:ascii="宋体" w:hAnsi="宋体"/>
                <w:spacing w:val="-4"/>
                <w:sz w:val="24"/>
              </w:rPr>
              <w:t>备注</w:t>
            </w:r>
          </w:p>
        </w:tc>
        <w:tc>
          <w:tcPr>
            <w:tcW w:w="7572" w:type="dxa"/>
            <w:gridSpan w:val="7"/>
            <w:tcBorders>
              <w:top w:val="nil"/>
              <w:left w:val="nil"/>
              <w:bottom w:val="single" w:color="auto" w:sz="8" w:space="0"/>
              <w:right w:val="single" w:color="auto" w:sz="8" w:space="0"/>
            </w:tcBorders>
            <w:noWrap w:val="0"/>
            <w:tcMar>
              <w:top w:w="57" w:type="dxa"/>
              <w:left w:w="57" w:type="dxa"/>
              <w:bottom w:w="57" w:type="dxa"/>
              <w:right w:w="57" w:type="dxa"/>
            </w:tcMar>
            <w:vAlign w:val="center"/>
          </w:tcPr>
          <w:p>
            <w:pPr>
              <w:spacing w:before="0" w:beforeLines="0" w:beforeAutospacing="0" w:after="100" w:afterAutospacing="1" w:line="540" w:lineRule="exact"/>
              <w:jc w:val="center"/>
              <w:rPr>
                <w:rFonts w:hint="eastAsia" w:ascii="宋体" w:hAnsi="宋体" w:cs="宋体"/>
                <w:sz w:val="24"/>
              </w:rPr>
            </w:pPr>
          </w:p>
        </w:tc>
      </w:tr>
    </w:tbl>
    <w:p>
      <w:pPr>
        <w:spacing w:beforeLines="0" w:line="540" w:lineRule="exact"/>
        <w:ind w:right="45" w:firstLine="624" w:firstLineChars="200"/>
        <w:rPr>
          <w:rFonts w:hint="eastAsia" w:ascii="仿宋_GB2312" w:hAnsi="仿宋" w:eastAsia="仿宋_GB2312"/>
          <w:color w:val="1B1B1B"/>
          <w:sz w:val="32"/>
          <w:szCs w:val="32"/>
        </w:rPr>
      </w:pPr>
      <w:r>
        <w:rPr>
          <w:rFonts w:hint="eastAsia" w:ascii="仿宋_GB2312" w:hAnsi="仿宋" w:eastAsia="仿宋_GB2312"/>
          <w:color w:val="1B1B1B"/>
          <w:spacing w:val="-4"/>
          <w:sz w:val="32"/>
          <w:szCs w:val="32"/>
        </w:rPr>
        <w:t>1.</w:t>
      </w:r>
      <w:r>
        <w:rPr>
          <w:rFonts w:hint="eastAsia" w:ascii="仿宋_GB2312" w:hAnsi="仿宋" w:eastAsia="仿宋_GB2312" w:cs="宋体"/>
          <w:color w:val="1B1B1B"/>
          <w:spacing w:val="-4"/>
          <w:sz w:val="32"/>
          <w:szCs w:val="32"/>
        </w:rPr>
        <w:t>讲解所需的服装</w:t>
      </w:r>
      <w:r>
        <w:rPr>
          <w:rFonts w:hint="eastAsia" w:ascii="仿宋_GB2312" w:hAnsi="仿宋" w:eastAsia="仿宋_GB2312" w:cs="Malgun Gothic Semilight"/>
          <w:color w:val="1B1B1B"/>
          <w:spacing w:val="-4"/>
          <w:sz w:val="32"/>
          <w:szCs w:val="32"/>
        </w:rPr>
        <w:t>、</w:t>
      </w:r>
      <w:r>
        <w:rPr>
          <w:rFonts w:hint="eastAsia" w:ascii="仿宋_GB2312" w:hAnsi="仿宋" w:eastAsia="仿宋_GB2312" w:cs="宋体"/>
          <w:color w:val="1B1B1B"/>
          <w:spacing w:val="-4"/>
          <w:sz w:val="32"/>
          <w:szCs w:val="32"/>
        </w:rPr>
        <w:t>道具</w:t>
      </w:r>
      <w:r>
        <w:rPr>
          <w:rFonts w:hint="eastAsia" w:ascii="仿宋_GB2312" w:hAnsi="仿宋" w:eastAsia="仿宋_GB2312" w:cs="Malgun Gothic Semilight"/>
          <w:color w:val="1B1B1B"/>
          <w:spacing w:val="-4"/>
          <w:sz w:val="32"/>
          <w:szCs w:val="32"/>
        </w:rPr>
        <w:t>、</w:t>
      </w:r>
      <w:r>
        <w:rPr>
          <w:rFonts w:hint="eastAsia" w:ascii="仿宋_GB2312" w:hAnsi="仿宋" w:eastAsia="仿宋_GB2312" w:cs="宋体"/>
          <w:color w:val="1B1B1B"/>
          <w:spacing w:val="-4"/>
          <w:sz w:val="32"/>
          <w:szCs w:val="32"/>
        </w:rPr>
        <w:t>多媒体等由选手自备</w:t>
      </w:r>
      <w:r>
        <w:rPr>
          <w:rFonts w:hint="eastAsia" w:ascii="仿宋_GB2312" w:hAnsi="仿宋" w:eastAsia="仿宋_GB2312" w:cs="Malgun Gothic Semilight"/>
          <w:color w:val="1B1B1B"/>
          <w:spacing w:val="-4"/>
          <w:sz w:val="32"/>
          <w:szCs w:val="32"/>
        </w:rPr>
        <w:t>。</w:t>
      </w:r>
    </w:p>
    <w:p>
      <w:pPr>
        <w:spacing w:beforeLines="0" w:line="540" w:lineRule="exact"/>
        <w:ind w:left="67" w:leftChars="21" w:right="45" w:firstLine="624" w:firstLineChars="200"/>
        <w:rPr>
          <w:rFonts w:hint="eastAsia" w:ascii="仿宋_GB2312" w:hAnsi="仿宋" w:eastAsia="仿宋_GB2312"/>
          <w:color w:val="1B1B1B"/>
          <w:spacing w:val="-4"/>
          <w:sz w:val="32"/>
          <w:szCs w:val="32"/>
        </w:rPr>
      </w:pPr>
      <w:r>
        <w:rPr>
          <w:rFonts w:hint="eastAsia" w:ascii="仿宋_GB2312" w:hAnsi="仿宋" w:eastAsia="仿宋_GB2312"/>
          <w:color w:val="1B1B1B"/>
          <w:spacing w:val="-4"/>
          <w:sz w:val="32"/>
          <w:szCs w:val="32"/>
        </w:rPr>
        <w:t>2.</w:t>
      </w:r>
      <w:r>
        <w:rPr>
          <w:rFonts w:hint="eastAsia" w:ascii="仿宋_GB2312" w:hAnsi="仿宋" w:eastAsia="仿宋_GB2312"/>
          <w:color w:val="1B1B1B"/>
          <w:spacing w:val="-4"/>
          <w:sz w:val="32"/>
          <w:szCs w:val="32"/>
          <w:lang w:eastAsia="zh-CN"/>
        </w:rPr>
        <w:t>请推荐单位于</w:t>
      </w:r>
      <w:r>
        <w:rPr>
          <w:rFonts w:hint="eastAsia" w:ascii="仿宋_GB2312" w:hAnsi="仿宋" w:eastAsia="仿宋_GB2312"/>
          <w:b/>
          <w:bCs/>
          <w:color w:val="1B1B1B"/>
          <w:spacing w:val="-4"/>
          <w:sz w:val="32"/>
          <w:szCs w:val="32"/>
        </w:rPr>
        <w:t>2021</w:t>
      </w:r>
      <w:r>
        <w:rPr>
          <w:rFonts w:hint="eastAsia" w:ascii="仿宋_GB2312" w:hAnsi="仿宋" w:eastAsia="仿宋_GB2312" w:cs="宋体"/>
          <w:b/>
          <w:bCs/>
          <w:color w:val="1B1B1B"/>
          <w:spacing w:val="-4"/>
          <w:sz w:val="32"/>
          <w:szCs w:val="32"/>
        </w:rPr>
        <w:t>年</w:t>
      </w:r>
      <w:r>
        <w:rPr>
          <w:rFonts w:hint="eastAsia" w:ascii="仿宋_GB2312" w:hAnsi="仿宋" w:eastAsia="仿宋_GB2312"/>
          <w:b/>
          <w:bCs/>
          <w:color w:val="1B1B1B"/>
          <w:spacing w:val="-4"/>
          <w:sz w:val="32"/>
          <w:szCs w:val="32"/>
        </w:rPr>
        <w:t>5</w:t>
      </w:r>
      <w:r>
        <w:rPr>
          <w:rFonts w:hint="eastAsia" w:ascii="仿宋_GB2312" w:hAnsi="仿宋" w:eastAsia="仿宋_GB2312" w:cs="宋体"/>
          <w:b/>
          <w:bCs/>
          <w:color w:val="1B1B1B"/>
          <w:spacing w:val="-4"/>
          <w:sz w:val="32"/>
          <w:szCs w:val="32"/>
        </w:rPr>
        <w:t>月</w:t>
      </w:r>
      <w:r>
        <w:rPr>
          <w:rFonts w:hint="eastAsia" w:ascii="仿宋_GB2312" w:hAnsi="仿宋" w:eastAsia="仿宋_GB2312"/>
          <w:b/>
          <w:bCs/>
          <w:color w:val="1B1B1B"/>
          <w:spacing w:val="-4"/>
          <w:sz w:val="32"/>
          <w:szCs w:val="32"/>
        </w:rPr>
        <w:t>1</w:t>
      </w:r>
      <w:r>
        <w:rPr>
          <w:rFonts w:hint="eastAsia" w:ascii="仿宋_GB2312" w:hAnsi="仿宋" w:eastAsia="仿宋_GB2312"/>
          <w:b/>
          <w:bCs/>
          <w:color w:val="1B1B1B"/>
          <w:spacing w:val="-4"/>
          <w:sz w:val="32"/>
          <w:szCs w:val="32"/>
          <w:lang w:val="en-US" w:eastAsia="zh-CN"/>
        </w:rPr>
        <w:t>9</w:t>
      </w:r>
      <w:r>
        <w:rPr>
          <w:rFonts w:hint="eastAsia" w:ascii="仿宋_GB2312" w:hAnsi="仿宋" w:eastAsia="仿宋_GB2312" w:cs="宋体"/>
          <w:b/>
          <w:bCs/>
          <w:color w:val="1B1B1B"/>
          <w:spacing w:val="-4"/>
          <w:sz w:val="32"/>
          <w:szCs w:val="32"/>
        </w:rPr>
        <w:t>日前</w:t>
      </w:r>
      <w:r>
        <w:rPr>
          <w:rFonts w:hint="eastAsia" w:ascii="仿宋_GB2312" w:hAnsi="仿宋" w:eastAsia="仿宋_GB2312" w:cs="宋体"/>
          <w:color w:val="1B1B1B"/>
          <w:spacing w:val="-4"/>
          <w:sz w:val="32"/>
          <w:szCs w:val="32"/>
        </w:rPr>
        <w:t>将此表电子版</w:t>
      </w:r>
      <w:r>
        <w:rPr>
          <w:rFonts w:hint="eastAsia" w:ascii="仿宋_GB2312" w:hAnsi="仿宋" w:eastAsia="仿宋_GB2312" w:cs="宋体"/>
          <w:color w:val="1B1B1B"/>
          <w:spacing w:val="-4"/>
          <w:sz w:val="32"/>
          <w:szCs w:val="32"/>
          <w:lang w:eastAsia="zh-CN"/>
        </w:rPr>
        <w:t>、</w:t>
      </w:r>
      <w:r>
        <w:rPr>
          <w:rFonts w:hint="eastAsia" w:ascii="仿宋_GB2312" w:hAnsi="仿宋" w:eastAsia="仿宋_GB2312" w:cs="宋体"/>
          <w:color w:val="1B1B1B"/>
          <w:spacing w:val="-4"/>
          <w:sz w:val="32"/>
          <w:szCs w:val="32"/>
        </w:rPr>
        <w:t>扫描件</w:t>
      </w:r>
      <w:r>
        <w:rPr>
          <w:rFonts w:hint="eastAsia" w:ascii="仿宋_GB2312" w:hAnsi="仿宋" w:eastAsia="仿宋_GB2312" w:cs="宋体"/>
          <w:color w:val="1B1B1B"/>
          <w:spacing w:val="-4"/>
          <w:sz w:val="32"/>
          <w:szCs w:val="32"/>
          <w:lang w:eastAsia="zh-CN"/>
        </w:rPr>
        <w:t>和</w:t>
      </w:r>
      <w:r>
        <w:rPr>
          <w:rFonts w:hint="eastAsia" w:ascii="仿宋_GB2312" w:hAnsi="仿宋_GB2312" w:eastAsia="仿宋_GB2312" w:cs="仿宋_GB2312"/>
          <w:sz w:val="32"/>
          <w:szCs w:val="32"/>
          <w:lang w:eastAsia="zh-CN"/>
        </w:rPr>
        <w:t>讲解内容</w:t>
      </w:r>
      <w:r>
        <w:rPr>
          <w:rFonts w:hint="eastAsia" w:ascii="仿宋_GB2312" w:hAnsi="仿宋_GB2312" w:eastAsia="仿宋_GB2312" w:cs="仿宋_GB2312"/>
          <w:sz w:val="32"/>
          <w:szCs w:val="32"/>
          <w:lang w:val="en-US" w:eastAsia="zh-CN"/>
        </w:rPr>
        <w:t>PPT</w:t>
      </w:r>
      <w:r>
        <w:rPr>
          <w:rFonts w:hint="eastAsia" w:ascii="仿宋_GB2312" w:hAnsi="仿宋" w:eastAsia="仿宋_GB2312" w:cs="宋体"/>
          <w:color w:val="1B1B1B"/>
          <w:spacing w:val="-4"/>
          <w:sz w:val="32"/>
          <w:szCs w:val="32"/>
        </w:rPr>
        <w:t>发送至邮箱</w:t>
      </w:r>
      <w:r>
        <w:rPr>
          <w:rFonts w:ascii="仿宋_GB2312" w:hAnsi="仿宋" w:eastAsia="仿宋_GB2312"/>
          <w:sz w:val="32"/>
          <w:szCs w:val="32"/>
        </w:rPr>
        <w:t>kepumail@kjt.fujian.gov.cn</w:t>
      </w:r>
      <w:r>
        <w:rPr>
          <w:rFonts w:hint="eastAsia" w:ascii="仿宋_GB2312" w:hAnsi="仿宋" w:eastAsia="仿宋_GB2312"/>
          <w:color w:val="1B1B1B"/>
          <w:spacing w:val="-4"/>
          <w:sz w:val="32"/>
          <w:szCs w:val="32"/>
        </w:rPr>
        <w:t>，</w:t>
      </w:r>
      <w:r>
        <w:rPr>
          <w:rFonts w:hint="eastAsia" w:ascii="仿宋_GB2312" w:hAnsi="仿宋" w:eastAsia="仿宋_GB2312" w:cs="宋体"/>
          <w:color w:val="1B1B1B"/>
          <w:spacing w:val="-4"/>
          <w:sz w:val="32"/>
          <w:szCs w:val="32"/>
        </w:rPr>
        <w:t>并将原件快递至福建省对外科技交流中心</w:t>
      </w:r>
      <w:r>
        <w:rPr>
          <w:rFonts w:hint="eastAsia" w:ascii="仿宋_GB2312" w:hAnsi="仿宋" w:eastAsia="仿宋_GB2312" w:cs="Malgun Gothic Semilight"/>
          <w:color w:val="1B1B1B"/>
          <w:spacing w:val="-4"/>
          <w:sz w:val="32"/>
          <w:szCs w:val="32"/>
        </w:rPr>
        <w:t>（</w:t>
      </w:r>
      <w:r>
        <w:rPr>
          <w:rFonts w:hint="eastAsia" w:ascii="仿宋_GB2312" w:hAnsi="仿宋" w:eastAsia="仿宋_GB2312" w:cs="宋体"/>
          <w:color w:val="1B1B1B"/>
          <w:spacing w:val="-4"/>
          <w:sz w:val="32"/>
          <w:szCs w:val="32"/>
        </w:rPr>
        <w:t>地址</w:t>
      </w:r>
      <w:r>
        <w:rPr>
          <w:rFonts w:hint="eastAsia" w:ascii="仿宋_GB2312" w:hAnsi="仿宋" w:eastAsia="仿宋_GB2312" w:cs="Malgun Gothic Semilight"/>
          <w:color w:val="1B1B1B"/>
          <w:spacing w:val="-4"/>
          <w:sz w:val="32"/>
          <w:szCs w:val="32"/>
        </w:rPr>
        <w:t>：</w:t>
      </w:r>
      <w:r>
        <w:rPr>
          <w:rFonts w:hint="eastAsia" w:ascii="仿宋_GB2312" w:hAnsi="仿宋" w:eastAsia="仿宋_GB2312" w:cs="宋体"/>
          <w:color w:val="1B1B1B"/>
          <w:spacing w:val="-4"/>
          <w:sz w:val="32"/>
          <w:szCs w:val="32"/>
        </w:rPr>
        <w:t>福州市湖东路7号4楼</w:t>
      </w:r>
      <w:r>
        <w:rPr>
          <w:rFonts w:hint="eastAsia" w:ascii="仿宋_GB2312" w:hAnsi="仿宋" w:eastAsia="仿宋_GB2312" w:cs="Malgun Gothic Semilight"/>
          <w:color w:val="1B1B1B"/>
          <w:spacing w:val="-4"/>
          <w:sz w:val="32"/>
          <w:szCs w:val="32"/>
        </w:rPr>
        <w:t>，</w:t>
      </w:r>
      <w:r>
        <w:rPr>
          <w:rFonts w:hint="eastAsia" w:ascii="仿宋_GB2312" w:hAnsi="仿宋" w:eastAsia="仿宋_GB2312" w:cs="宋体"/>
          <w:color w:val="1B1B1B"/>
          <w:spacing w:val="-4"/>
          <w:sz w:val="32"/>
          <w:szCs w:val="32"/>
        </w:rPr>
        <w:t>邮编</w:t>
      </w:r>
      <w:r>
        <w:rPr>
          <w:rFonts w:hint="eastAsia" w:ascii="仿宋_GB2312" w:hAnsi="仿宋" w:eastAsia="仿宋_GB2312" w:cs="Malgun Gothic Semilight"/>
          <w:color w:val="1B1B1B"/>
          <w:spacing w:val="-4"/>
          <w:sz w:val="32"/>
          <w:szCs w:val="32"/>
        </w:rPr>
        <w:t>：350003</w:t>
      </w:r>
      <w:r>
        <w:rPr>
          <w:rFonts w:hint="eastAsia" w:ascii="仿宋_GB2312" w:hAnsi="仿宋" w:eastAsia="仿宋_GB2312"/>
          <w:color w:val="1B1B1B"/>
          <w:spacing w:val="-4"/>
          <w:sz w:val="32"/>
          <w:szCs w:val="32"/>
        </w:rPr>
        <w:t>）。</w:t>
      </w:r>
    </w:p>
    <w:p>
      <w:pPr>
        <w:spacing w:beforeLines="0" w:line="540" w:lineRule="exact"/>
        <w:ind w:left="67" w:leftChars="21" w:right="45" w:firstLine="624" w:firstLineChars="200"/>
        <w:rPr>
          <w:rFonts w:hint="eastAsia" w:ascii="仿宋_GB2312" w:hAnsi="黑体" w:eastAsia="仿宋_GB2312"/>
          <w:sz w:val="32"/>
          <w:szCs w:val="32"/>
        </w:rPr>
      </w:pPr>
      <w:r>
        <w:rPr>
          <w:rFonts w:hint="eastAsia" w:ascii="仿宋_GB2312" w:hAnsi="仿宋" w:eastAsia="仿宋_GB2312"/>
          <w:color w:val="1B1B1B"/>
          <w:spacing w:val="-4"/>
          <w:sz w:val="32"/>
          <w:szCs w:val="32"/>
        </w:rPr>
        <w:t>3.推荐单位必须是省直部门</w:t>
      </w:r>
      <w:r>
        <w:rPr>
          <w:rFonts w:hint="eastAsia" w:ascii="仿宋_GB2312" w:hAnsi="仿宋"/>
          <w:color w:val="1B1B1B"/>
          <w:spacing w:val="-4"/>
          <w:sz w:val="32"/>
          <w:szCs w:val="32"/>
          <w:lang w:eastAsia="zh-CN"/>
        </w:rPr>
        <w:t>，</w:t>
      </w:r>
      <w:r>
        <w:rPr>
          <w:rFonts w:hint="eastAsia" w:ascii="仿宋_GB2312" w:hAnsi="仿宋" w:eastAsia="仿宋_GB2312"/>
          <w:color w:val="1B1B1B"/>
          <w:spacing w:val="-4"/>
          <w:sz w:val="32"/>
          <w:szCs w:val="32"/>
        </w:rPr>
        <w:t>设区市</w:t>
      </w:r>
      <w:r>
        <w:rPr>
          <w:rFonts w:hint="eastAsia" w:ascii="仿宋_GB2312" w:hAnsi="仿宋"/>
          <w:color w:val="1B1B1B"/>
          <w:spacing w:val="-4"/>
          <w:sz w:val="32"/>
          <w:szCs w:val="32"/>
          <w:lang w:eastAsia="zh-CN"/>
        </w:rPr>
        <w:t>、平潭综合实验区</w:t>
      </w:r>
      <w:r>
        <w:rPr>
          <w:rFonts w:hint="eastAsia" w:ascii="仿宋_GB2312" w:hAnsi="仿宋" w:eastAsia="仿宋_GB2312"/>
          <w:color w:val="1B1B1B"/>
          <w:spacing w:val="-4"/>
          <w:sz w:val="32"/>
          <w:szCs w:val="32"/>
        </w:rPr>
        <w:t>科技</w:t>
      </w:r>
      <w:r>
        <w:rPr>
          <w:rFonts w:hint="eastAsia" w:ascii="仿宋_GB2312" w:hAnsi="仿宋"/>
          <w:color w:val="1B1B1B"/>
          <w:spacing w:val="-4"/>
          <w:sz w:val="32"/>
          <w:szCs w:val="32"/>
          <w:lang w:eastAsia="zh-CN"/>
        </w:rPr>
        <w:t>主管部门，</w:t>
      </w:r>
      <w:r>
        <w:rPr>
          <w:rFonts w:hint="eastAsia" w:ascii="仿宋_GB2312" w:hAnsi="仿宋" w:eastAsia="仿宋_GB2312"/>
          <w:color w:val="1B1B1B"/>
          <w:spacing w:val="-4"/>
          <w:sz w:val="32"/>
          <w:szCs w:val="32"/>
        </w:rPr>
        <w:t>高校</w:t>
      </w:r>
      <w:r>
        <w:rPr>
          <w:rFonts w:hint="eastAsia" w:ascii="仿宋_GB2312" w:hAnsi="仿宋"/>
          <w:color w:val="1B1B1B"/>
          <w:spacing w:val="-4"/>
          <w:sz w:val="32"/>
          <w:szCs w:val="32"/>
          <w:lang w:eastAsia="zh-CN"/>
        </w:rPr>
        <w:t>，</w:t>
      </w:r>
      <w:r>
        <w:rPr>
          <w:rFonts w:hint="eastAsia" w:ascii="仿宋_GB2312" w:hAnsi="仿宋" w:eastAsia="仿宋_GB2312"/>
          <w:color w:val="1B1B1B"/>
          <w:spacing w:val="-4"/>
          <w:sz w:val="32"/>
          <w:szCs w:val="32"/>
        </w:rPr>
        <w:t>省级科研院所。</w:t>
      </w:r>
    </w:p>
    <w:p>
      <w:pPr>
        <w:spacing w:beforeLines="0" w:line="540" w:lineRule="exact"/>
        <w:ind w:firstLine="0"/>
        <w:rPr>
          <w:rFonts w:hint="eastAsia" w:ascii="黑体" w:hAnsi="黑体" w:eastAsia="黑体"/>
          <w:sz w:val="32"/>
          <w:szCs w:val="32"/>
        </w:rPr>
      </w:pPr>
      <w:r>
        <w:rPr>
          <w:rFonts w:hint="eastAsia" w:ascii="黑体" w:hAnsi="黑体" w:eastAsia="黑体"/>
          <w:sz w:val="32"/>
          <w:szCs w:val="32"/>
        </w:rPr>
        <w:t>附件2</w:t>
      </w:r>
    </w:p>
    <w:p>
      <w:pPr>
        <w:spacing w:beforeLines="0" w:line="540" w:lineRule="exact"/>
        <w:rPr>
          <w:rFonts w:hint="eastAsia" w:ascii="黑体" w:hAnsi="黑体" w:eastAsia="黑体"/>
          <w:sz w:val="32"/>
          <w:szCs w:val="32"/>
        </w:rPr>
      </w:pPr>
    </w:p>
    <w:p>
      <w:pPr>
        <w:spacing w:beforeLines="0" w:line="54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福建省第五届科普讲解大赛实施方案</w:t>
      </w:r>
    </w:p>
    <w:p>
      <w:pPr>
        <w:spacing w:beforeLines="0" w:line="540" w:lineRule="exact"/>
        <w:jc w:val="center"/>
        <w:rPr>
          <w:rFonts w:hint="eastAsia" w:ascii="仿宋_GB2312" w:hAnsi="仿宋" w:eastAsia="仿宋_GB2312"/>
          <w:sz w:val="32"/>
          <w:szCs w:val="32"/>
        </w:rPr>
      </w:pPr>
    </w:p>
    <w:p>
      <w:pPr>
        <w:spacing w:beforeLines="0" w:line="500" w:lineRule="exact"/>
        <w:ind w:firstLine="640" w:firstLineChars="200"/>
        <w:rPr>
          <w:rFonts w:hint="eastAsia" w:ascii="黑体" w:hAnsi="黑体" w:eastAsia="黑体"/>
          <w:sz w:val="32"/>
          <w:szCs w:val="32"/>
        </w:rPr>
      </w:pPr>
      <w:r>
        <w:rPr>
          <w:rFonts w:hint="eastAsia" w:ascii="黑体" w:hAnsi="黑体" w:eastAsia="黑体"/>
          <w:sz w:val="32"/>
          <w:szCs w:val="32"/>
        </w:rPr>
        <w:t>一、大赛目的</w:t>
      </w:r>
    </w:p>
    <w:p>
      <w:pPr>
        <w:spacing w:beforeLines="0" w:line="5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福建省第五届科普讲解大赛以习近平新时代中国特色社会主义思想为指导，全面贯彻党的十九大和十九届二中、三中、四中、五中全会精神，深入实施《中华人民共和国科学技术普及法》《福建省科学</w:t>
      </w:r>
      <w:r>
        <w:rPr>
          <w:rFonts w:hint="eastAsia" w:ascii="仿宋_GB2312" w:hAnsi="仿宋" w:eastAsia="仿宋_GB2312"/>
          <w:color w:val="000000"/>
          <w:sz w:val="32"/>
          <w:lang w:eastAsia="zh-CN"/>
        </w:rPr>
        <w:t>技术</w:t>
      </w:r>
      <w:r>
        <w:rPr>
          <w:rFonts w:hint="eastAsia" w:ascii="仿宋_GB2312" w:hAnsi="仿宋" w:eastAsia="仿宋_GB2312"/>
          <w:color w:val="000000"/>
          <w:sz w:val="32"/>
        </w:rPr>
        <w:t>普及条例》，以科学普及与科技创新同等重要为主线，通过大赛在全社会广泛普及科学知识，弘扬科学精神，传播科学思想，倡导科学方法，激发全社会创新创业活力，营造良好的创新文化氛围，动员号召全省科技工作者、社会各界人士，积极投身创新驱动发展战略的伟大实践，让科技发展成果更多更广泛地惠及全体人民，服务于人民对美好生活的向往。</w:t>
      </w:r>
    </w:p>
    <w:p>
      <w:pPr>
        <w:spacing w:beforeLines="0" w:line="500" w:lineRule="exact"/>
        <w:ind w:firstLine="640" w:firstLineChars="200"/>
        <w:rPr>
          <w:rFonts w:hint="eastAsia"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活动</w:t>
      </w:r>
      <w:r>
        <w:rPr>
          <w:rFonts w:hint="eastAsia" w:ascii="黑体" w:hAnsi="黑体" w:eastAsia="黑体"/>
          <w:sz w:val="32"/>
          <w:szCs w:val="32"/>
        </w:rPr>
        <w:t>组织</w:t>
      </w:r>
    </w:p>
    <w:p>
      <w:pPr>
        <w:spacing w:beforeLines="0" w:line="500" w:lineRule="exact"/>
        <w:ind w:firstLine="640" w:firstLineChars="200"/>
        <w:rPr>
          <w:rFonts w:ascii="仿宋_GB2312" w:hAnsi="仿宋" w:eastAsia="仿宋_GB2312"/>
          <w:color w:val="000000"/>
          <w:sz w:val="32"/>
        </w:rPr>
      </w:pPr>
      <w:r>
        <w:rPr>
          <w:rFonts w:hint="eastAsia" w:ascii="楷体_GB2312" w:hAnsi="仿宋" w:eastAsia="楷体_GB2312"/>
          <w:b w:val="0"/>
          <w:bCs w:val="0"/>
          <w:color w:val="000000"/>
          <w:sz w:val="32"/>
        </w:rPr>
        <w:t>主办单位：</w:t>
      </w:r>
      <w:r>
        <w:rPr>
          <w:rFonts w:hint="eastAsia" w:ascii="仿宋_GB2312" w:hAnsi="仿宋" w:eastAsia="仿宋_GB2312"/>
          <w:color w:val="000000"/>
          <w:sz w:val="32"/>
        </w:rPr>
        <w:t>福建省科学技术厅、中共福建省委宣传部、福建省科学技术协会</w:t>
      </w:r>
    </w:p>
    <w:p>
      <w:pPr>
        <w:spacing w:beforeLines="0" w:line="500" w:lineRule="exact"/>
        <w:ind w:firstLine="640" w:firstLineChars="200"/>
        <w:rPr>
          <w:rFonts w:ascii="仿宋_GB2312" w:hAnsi="仿宋" w:eastAsia="仿宋_GB2312"/>
          <w:color w:val="000000"/>
          <w:sz w:val="32"/>
        </w:rPr>
      </w:pPr>
      <w:r>
        <w:rPr>
          <w:rFonts w:hint="eastAsia" w:ascii="楷体_GB2312" w:hAnsi="仿宋" w:eastAsia="楷体_GB2312"/>
          <w:b w:val="0"/>
          <w:bCs w:val="0"/>
          <w:color w:val="000000"/>
          <w:sz w:val="32"/>
        </w:rPr>
        <w:t>承办单位：</w:t>
      </w:r>
      <w:r>
        <w:rPr>
          <w:rFonts w:hint="eastAsia" w:ascii="仿宋_GB2312" w:hAnsi="仿宋" w:eastAsia="仿宋_GB2312"/>
          <w:bCs/>
          <w:color w:val="000000"/>
          <w:sz w:val="32"/>
        </w:rPr>
        <w:t>福建省外国(海外)专家局、</w:t>
      </w:r>
      <w:r>
        <w:rPr>
          <w:rFonts w:hint="eastAsia" w:ascii="仿宋_GB2312" w:hAnsi="仿宋" w:eastAsia="仿宋_GB2312"/>
          <w:color w:val="000000"/>
          <w:sz w:val="32"/>
        </w:rPr>
        <w:t>福建省对外科技交流中心</w:t>
      </w:r>
    </w:p>
    <w:p>
      <w:pPr>
        <w:numPr>
          <w:ilvl w:val="-1"/>
          <w:numId w:val="0"/>
        </w:numPr>
        <w:spacing w:beforeLines="0" w:line="500" w:lineRule="exact"/>
        <w:ind w:firstLine="640" w:firstLineChars="200"/>
        <w:rPr>
          <w:rFonts w:hint="eastAsia" w:ascii="黑体" w:hAnsi="黑体" w:eastAsia="黑体" w:cs="黑体"/>
          <w:b w:val="0"/>
          <w:bCs w:val="0"/>
          <w:color w:val="000000"/>
          <w:sz w:val="32"/>
          <w:lang w:eastAsia="zh-CN"/>
        </w:rPr>
      </w:pPr>
      <w:r>
        <w:rPr>
          <w:rFonts w:hint="eastAsia" w:ascii="黑体" w:hAnsi="黑体" w:eastAsia="黑体" w:cs="黑体"/>
          <w:b w:val="0"/>
          <w:bCs w:val="0"/>
          <w:color w:val="000000"/>
          <w:sz w:val="32"/>
          <w:lang w:eastAsia="zh-CN"/>
        </w:rPr>
        <w:t>三、</w:t>
      </w:r>
      <w:r>
        <w:rPr>
          <w:rFonts w:hint="eastAsia" w:ascii="黑体" w:hAnsi="黑体" w:eastAsia="黑体" w:cs="黑体"/>
          <w:b w:val="0"/>
          <w:bCs w:val="0"/>
          <w:color w:val="000000"/>
          <w:sz w:val="32"/>
          <w:lang w:eastAsia="zh-CN"/>
        </w:rPr>
        <w:t>参赛对象</w:t>
      </w:r>
    </w:p>
    <w:p>
      <w:pPr>
        <w:numPr>
          <w:ilvl w:val="0"/>
          <w:numId w:val="0"/>
        </w:numPr>
        <w:spacing w:beforeLines="0" w:line="500" w:lineRule="exact"/>
        <w:ind w:firstLine="640" w:firstLineChars="200"/>
        <w:rPr>
          <w:rFonts w:hint="eastAsia" w:ascii="仿宋_GB2312" w:hAnsi="仿宋" w:eastAsia="仿宋_GB2312"/>
          <w:color w:val="000000"/>
          <w:sz w:val="32"/>
        </w:rPr>
      </w:pPr>
      <w:r>
        <w:rPr>
          <w:rFonts w:hint="eastAsia" w:ascii="仿宋_GB2312" w:hAnsi="仿宋" w:eastAsia="仿宋_GB2312"/>
          <w:color w:val="000000"/>
          <w:sz w:val="32"/>
        </w:rPr>
        <w:t>参赛选手为</w:t>
      </w:r>
      <w:r>
        <w:rPr>
          <w:rFonts w:hint="eastAsia" w:ascii="仿宋_GB2312" w:hAnsi="仿宋" w:eastAsia="仿宋_GB2312"/>
          <w:color w:val="000000"/>
          <w:sz w:val="32"/>
          <w:lang w:eastAsia="zh-CN"/>
        </w:rPr>
        <w:t>专职和兼职</w:t>
      </w:r>
      <w:r>
        <w:rPr>
          <w:rFonts w:hint="eastAsia" w:ascii="仿宋_GB2312" w:hAnsi="仿宋" w:eastAsia="仿宋_GB2312"/>
          <w:color w:val="000000"/>
          <w:sz w:val="32"/>
        </w:rPr>
        <w:t>科普工作者。同时，欢迎其他科学传播爱好者（职业不限、年龄16周岁以上）参赛。</w:t>
      </w:r>
    </w:p>
    <w:p>
      <w:pPr>
        <w:spacing w:beforeLines="0" w:line="500" w:lineRule="exact"/>
        <w:ind w:firstLine="640" w:firstLineChars="200"/>
        <w:rPr>
          <w:rFonts w:hint="eastAsia" w:ascii="黑体" w:hAnsi="黑体" w:eastAsia="黑体" w:cs="黑体"/>
          <w:b w:val="0"/>
          <w:bCs w:val="0"/>
          <w:color w:val="000000"/>
          <w:sz w:val="32"/>
        </w:rPr>
      </w:pPr>
      <w:r>
        <w:rPr>
          <w:rFonts w:hint="eastAsia" w:ascii="黑体" w:hAnsi="黑体" w:eastAsia="黑体" w:cs="黑体"/>
          <w:b w:val="0"/>
          <w:bCs w:val="0"/>
          <w:color w:val="000000"/>
          <w:sz w:val="32"/>
          <w:lang w:eastAsia="zh-CN"/>
        </w:rPr>
        <w:t>四</w:t>
      </w:r>
      <w:r>
        <w:rPr>
          <w:rFonts w:hint="eastAsia" w:ascii="黑体" w:hAnsi="黑体" w:eastAsia="黑体" w:cs="黑体"/>
          <w:b w:val="0"/>
          <w:bCs w:val="0"/>
          <w:color w:val="000000"/>
          <w:sz w:val="32"/>
        </w:rPr>
        <w:t>、预赛</w:t>
      </w:r>
      <w:r>
        <w:rPr>
          <w:rFonts w:hint="eastAsia" w:ascii="黑体" w:hAnsi="黑体" w:eastAsia="黑体" w:cs="黑体"/>
          <w:b w:val="0"/>
          <w:bCs w:val="0"/>
          <w:color w:val="000000"/>
          <w:sz w:val="32"/>
          <w:lang w:eastAsia="zh-CN"/>
        </w:rPr>
        <w:t>安排</w:t>
      </w:r>
    </w:p>
    <w:p>
      <w:pPr>
        <w:spacing w:beforeLines="0" w:line="500" w:lineRule="exact"/>
        <w:ind w:firstLine="640" w:firstLineChars="200"/>
        <w:rPr>
          <w:rFonts w:ascii="仿宋_GB2312" w:hAnsi="仿宋" w:eastAsia="仿宋_GB2312"/>
          <w:bCs/>
          <w:color w:val="000000"/>
          <w:sz w:val="32"/>
        </w:rPr>
      </w:pPr>
      <w:r>
        <w:rPr>
          <w:rFonts w:hint="eastAsia" w:ascii="仿宋_GB2312" w:hAnsi="仿宋" w:eastAsia="仿宋_GB2312"/>
          <w:bCs/>
          <w:color w:val="000000"/>
          <w:sz w:val="32"/>
        </w:rPr>
        <w:t>时间：2021年5月1</w:t>
      </w:r>
      <w:r>
        <w:rPr>
          <w:rFonts w:hint="eastAsia" w:ascii="仿宋_GB2312" w:hAnsi="仿宋"/>
          <w:bCs/>
          <w:color w:val="000000"/>
          <w:sz w:val="32"/>
          <w:lang w:val="en-US" w:eastAsia="zh-CN"/>
        </w:rPr>
        <w:t>5</w:t>
      </w:r>
      <w:r>
        <w:rPr>
          <w:rFonts w:hint="eastAsia" w:ascii="仿宋_GB2312" w:hAnsi="仿宋" w:eastAsia="仿宋_GB2312"/>
          <w:bCs/>
          <w:color w:val="000000"/>
          <w:sz w:val="32"/>
        </w:rPr>
        <w:t>日前</w:t>
      </w:r>
    </w:p>
    <w:p>
      <w:pPr>
        <w:spacing w:beforeLines="0" w:line="500" w:lineRule="exact"/>
        <w:ind w:firstLine="640" w:firstLineChars="200"/>
        <w:rPr>
          <w:rFonts w:ascii="仿宋_GB2312" w:hAnsi="仿宋" w:eastAsia="仿宋_GB2312"/>
          <w:bCs/>
          <w:color w:val="000000"/>
          <w:sz w:val="32"/>
        </w:rPr>
      </w:pPr>
      <w:r>
        <w:rPr>
          <w:rFonts w:hint="eastAsia" w:ascii="仿宋_GB2312" w:hAnsi="仿宋" w:eastAsia="仿宋_GB2312"/>
          <w:bCs/>
          <w:color w:val="000000"/>
          <w:sz w:val="32"/>
        </w:rPr>
        <w:t>内容：为进一步发动全社会参与科普讲解大赛活动，本届科普讲解大赛鼓励省直各部门、高校、省级科研院所负责开展本部门、本单位的预赛工作；各设区市</w:t>
      </w:r>
      <w:r>
        <w:rPr>
          <w:rFonts w:hint="eastAsia" w:ascii="仿宋_GB2312" w:hAnsi="仿宋" w:eastAsia="仿宋_GB2312"/>
          <w:bCs/>
          <w:color w:val="000000"/>
          <w:sz w:val="32"/>
          <w:lang w:eastAsia="zh-CN"/>
        </w:rPr>
        <w:t>、平潭综合实验区</w:t>
      </w:r>
      <w:r>
        <w:rPr>
          <w:rFonts w:hint="eastAsia" w:ascii="仿宋_GB2312" w:hAnsi="仿宋" w:eastAsia="仿宋_GB2312"/>
          <w:bCs/>
          <w:color w:val="000000"/>
          <w:sz w:val="32"/>
        </w:rPr>
        <w:t>科技主管部门负责组织本辖区内的预赛。</w:t>
      </w:r>
      <w:r>
        <w:rPr>
          <w:rFonts w:hint="eastAsia" w:ascii="仿宋_GB2312" w:hAnsi="仿宋" w:eastAsia="仿宋_GB2312"/>
          <w:bCs/>
          <w:color w:val="000000"/>
          <w:sz w:val="32"/>
          <w:lang w:eastAsia="zh-CN"/>
        </w:rPr>
        <w:t>参赛选手需参加所在地区或系统（单位）组织的预赛，经相关主管部门推荐方可参加决赛。</w:t>
      </w:r>
    </w:p>
    <w:p>
      <w:pPr>
        <w:spacing w:beforeLines="0" w:line="500" w:lineRule="exact"/>
        <w:ind w:firstLine="640" w:firstLineChars="200"/>
        <w:rPr>
          <w:rFonts w:hint="eastAsia" w:ascii="黑体" w:hAnsi="黑体" w:eastAsia="黑体" w:cs="黑体"/>
          <w:b w:val="0"/>
          <w:bCs w:val="0"/>
          <w:color w:val="000000"/>
          <w:sz w:val="32"/>
        </w:rPr>
      </w:pPr>
      <w:r>
        <w:rPr>
          <w:rFonts w:hint="eastAsia" w:ascii="黑体" w:hAnsi="黑体" w:eastAsia="黑体" w:cs="黑体"/>
          <w:b w:val="0"/>
          <w:bCs w:val="0"/>
          <w:color w:val="000000"/>
          <w:sz w:val="32"/>
          <w:lang w:eastAsia="zh-CN"/>
        </w:rPr>
        <w:t>五</w:t>
      </w:r>
      <w:r>
        <w:rPr>
          <w:rFonts w:hint="eastAsia" w:ascii="黑体" w:hAnsi="黑体" w:eastAsia="黑体" w:cs="黑体"/>
          <w:b w:val="0"/>
          <w:bCs w:val="0"/>
          <w:color w:val="000000"/>
          <w:sz w:val="32"/>
          <w:lang w:eastAsia="zh-CN"/>
        </w:rPr>
        <w:t>、</w:t>
      </w:r>
      <w:r>
        <w:rPr>
          <w:rFonts w:hint="eastAsia" w:ascii="黑体" w:hAnsi="黑体" w:eastAsia="黑体" w:cs="黑体"/>
          <w:b w:val="0"/>
          <w:bCs w:val="0"/>
          <w:color w:val="000000"/>
          <w:sz w:val="32"/>
        </w:rPr>
        <w:t>决赛</w:t>
      </w:r>
      <w:r>
        <w:rPr>
          <w:rFonts w:hint="eastAsia" w:ascii="黑体" w:hAnsi="黑体" w:eastAsia="黑体" w:cs="黑体"/>
          <w:b w:val="0"/>
          <w:bCs w:val="0"/>
          <w:color w:val="000000"/>
          <w:sz w:val="32"/>
          <w:lang w:eastAsia="zh-CN"/>
        </w:rPr>
        <w:t>安排和要求</w:t>
      </w:r>
    </w:p>
    <w:p>
      <w:pPr>
        <w:spacing w:beforeLines="0" w:line="500" w:lineRule="exact"/>
        <w:ind w:firstLine="645"/>
        <w:rPr>
          <w:rFonts w:hint="eastAsia" w:ascii="仿宋_GB2312" w:hAnsi="仿宋" w:eastAsia="仿宋_GB2312"/>
          <w:bCs/>
          <w:color w:val="000000"/>
          <w:sz w:val="32"/>
        </w:rPr>
      </w:pPr>
      <w:r>
        <w:rPr>
          <w:rFonts w:hint="eastAsia" w:ascii="楷体" w:hAnsi="楷体" w:eastAsia="楷体" w:cs="楷体"/>
          <w:b w:val="0"/>
          <w:bCs/>
          <w:color w:val="000000"/>
          <w:sz w:val="32"/>
          <w:lang w:eastAsia="zh-CN"/>
        </w:rPr>
        <w:t>（一）</w:t>
      </w:r>
      <w:r>
        <w:rPr>
          <w:rFonts w:hint="eastAsia" w:ascii="楷体" w:hAnsi="楷体" w:eastAsia="楷体" w:cs="楷体"/>
          <w:b w:val="0"/>
          <w:bCs/>
          <w:color w:val="000000"/>
          <w:sz w:val="32"/>
        </w:rPr>
        <w:t>时间：</w:t>
      </w:r>
      <w:r>
        <w:rPr>
          <w:rFonts w:hint="eastAsia" w:ascii="仿宋_GB2312" w:hAnsi="仿宋" w:eastAsia="仿宋_GB2312"/>
          <w:bCs/>
          <w:color w:val="000000"/>
          <w:sz w:val="32"/>
        </w:rPr>
        <w:t>2021年全省科技活动周期间</w:t>
      </w:r>
    </w:p>
    <w:p>
      <w:pPr>
        <w:spacing w:beforeLines="0" w:line="500" w:lineRule="exact"/>
        <w:ind w:firstLine="645" w:firstLineChars="0"/>
        <w:rPr>
          <w:rFonts w:ascii="仿宋_GB2312" w:hAnsi="仿宋" w:eastAsia="仿宋_GB2312"/>
          <w:bCs/>
          <w:color w:val="000000"/>
          <w:sz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地点：</w:t>
      </w:r>
      <w:r>
        <w:rPr>
          <w:rFonts w:hint="eastAsia" w:ascii="仿宋_GB2312" w:hAnsi="仿宋" w:eastAsia="仿宋_GB2312"/>
          <w:sz w:val="32"/>
          <w:szCs w:val="32"/>
        </w:rPr>
        <w:t>福州</w:t>
      </w:r>
    </w:p>
    <w:p>
      <w:pPr>
        <w:spacing w:beforeLines="0" w:line="500" w:lineRule="exact"/>
        <w:ind w:firstLine="640" w:firstLineChars="200"/>
        <w:rPr>
          <w:rFonts w:ascii="仿宋_GB2312" w:hAnsi="仿宋" w:eastAsia="仿宋_GB2312"/>
          <w:bCs/>
          <w:color w:val="000000"/>
          <w:sz w:val="32"/>
        </w:rPr>
      </w:pPr>
      <w:r>
        <w:rPr>
          <w:rFonts w:hint="eastAsia" w:ascii="楷体" w:hAnsi="楷体" w:eastAsia="楷体" w:cs="楷体"/>
          <w:b w:val="0"/>
          <w:bCs/>
          <w:color w:val="000000"/>
          <w:sz w:val="32"/>
          <w:lang w:eastAsia="zh-CN"/>
        </w:rPr>
        <w:t>（三）参赛名额</w:t>
      </w:r>
      <w:r>
        <w:rPr>
          <w:rFonts w:hint="eastAsia" w:ascii="楷体" w:hAnsi="楷体" w:eastAsia="楷体" w:cs="楷体"/>
          <w:b w:val="0"/>
          <w:bCs/>
          <w:color w:val="000000"/>
          <w:sz w:val="32"/>
        </w:rPr>
        <w:t>：</w:t>
      </w:r>
      <w:r>
        <w:rPr>
          <w:rFonts w:hint="eastAsia" w:ascii="仿宋_GB2312" w:hAnsi="仿宋" w:eastAsia="仿宋_GB2312"/>
          <w:sz w:val="32"/>
          <w:szCs w:val="32"/>
        </w:rPr>
        <w:t>省直各部门、高校、省级科研院所和设区市科技主管部门各推荐1名</w:t>
      </w:r>
      <w:r>
        <w:rPr>
          <w:rFonts w:hint="eastAsia" w:ascii="仿宋_GB2312" w:hAnsi="仿宋" w:eastAsia="仿宋_GB2312"/>
          <w:sz w:val="32"/>
          <w:szCs w:val="32"/>
          <w:lang w:eastAsia="zh-CN"/>
        </w:rPr>
        <w:t>参赛</w:t>
      </w:r>
      <w:r>
        <w:rPr>
          <w:rFonts w:hint="eastAsia" w:ascii="仿宋_GB2312" w:hAnsi="仿宋" w:eastAsia="仿宋_GB2312"/>
          <w:sz w:val="32"/>
          <w:szCs w:val="32"/>
        </w:rPr>
        <w:t>选手，其中福建医科大学、福建中医药大学</w:t>
      </w:r>
      <w:r>
        <w:rPr>
          <w:rFonts w:hint="eastAsia" w:ascii="仿宋_GB2312" w:hAnsi="仿宋" w:eastAsia="仿宋_GB2312"/>
          <w:sz w:val="32"/>
          <w:szCs w:val="32"/>
          <w:lang w:eastAsia="zh-CN"/>
        </w:rPr>
        <w:t>可</w:t>
      </w:r>
      <w:r>
        <w:rPr>
          <w:rFonts w:hint="eastAsia" w:ascii="仿宋_GB2312" w:hAnsi="仿宋" w:eastAsia="仿宋_GB2312"/>
          <w:sz w:val="32"/>
          <w:szCs w:val="32"/>
        </w:rPr>
        <w:t>推荐2名</w:t>
      </w:r>
      <w:r>
        <w:rPr>
          <w:rFonts w:hint="eastAsia" w:ascii="仿宋_GB2312" w:hAnsi="仿宋" w:eastAsia="仿宋_GB2312"/>
          <w:sz w:val="32"/>
          <w:szCs w:val="32"/>
          <w:lang w:eastAsia="zh-CN"/>
        </w:rPr>
        <w:t>参赛</w:t>
      </w:r>
      <w:r>
        <w:rPr>
          <w:rFonts w:hint="eastAsia" w:ascii="仿宋_GB2312" w:hAnsi="仿宋" w:eastAsia="仿宋_GB2312"/>
          <w:sz w:val="32"/>
          <w:szCs w:val="32"/>
        </w:rPr>
        <w:t>选手</w:t>
      </w:r>
      <w:r>
        <w:rPr>
          <w:rFonts w:hint="eastAsia" w:ascii="仿宋_GB2312" w:hAnsi="仿宋" w:eastAsia="仿宋_GB2312"/>
          <w:sz w:val="32"/>
          <w:szCs w:val="32"/>
          <w:lang w:eastAsia="zh-CN"/>
        </w:rPr>
        <w:t>（含所属医院）</w:t>
      </w:r>
      <w:r>
        <w:rPr>
          <w:rFonts w:hint="eastAsia" w:ascii="仿宋_GB2312" w:hAnsi="仿宋" w:eastAsia="仿宋_GB2312"/>
          <w:sz w:val="32"/>
          <w:szCs w:val="32"/>
        </w:rPr>
        <w:t>。</w:t>
      </w:r>
    </w:p>
    <w:p>
      <w:pPr>
        <w:spacing w:beforeLines="0" w:line="50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、决赛议程</w:t>
      </w:r>
      <w:r>
        <w:rPr>
          <w:rFonts w:hint="eastAsia" w:ascii="黑体" w:hAnsi="黑体" w:eastAsia="黑体" w:cs="黑体"/>
          <w:sz w:val="32"/>
          <w:szCs w:val="32"/>
          <w:lang w:eastAsia="zh-CN"/>
        </w:rPr>
        <w:t>和内容</w:t>
      </w:r>
    </w:p>
    <w:p>
      <w:pPr>
        <w:spacing w:beforeLines="0" w:line="50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（一）第一场：福建省第五届科普讲解大赛</w:t>
      </w:r>
    </w:p>
    <w:p>
      <w:pPr>
        <w:spacing w:beforeLines="0" w:line="500" w:lineRule="exact"/>
        <w:ind w:firstLine="640" w:firstLineChars="200"/>
        <w:rPr>
          <w:rFonts w:ascii="仿宋_GB2312" w:hAnsi="仿宋" w:eastAsia="仿宋_GB2312"/>
          <w:b/>
          <w:sz w:val="32"/>
          <w:szCs w:val="32"/>
        </w:rPr>
      </w:pPr>
      <w:r>
        <w:rPr>
          <w:rFonts w:hint="eastAsia" w:ascii="仿宋_GB2312" w:hAnsi="仿宋" w:eastAsia="仿宋_GB2312"/>
          <w:b/>
          <w:sz w:val="32"/>
          <w:szCs w:val="32"/>
        </w:rPr>
        <w:t>1.比赛内容</w:t>
      </w:r>
    </w:p>
    <w:p>
      <w:pPr>
        <w:spacing w:beforeLines="0"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比赛</w:t>
      </w:r>
      <w:r>
        <w:rPr>
          <w:rFonts w:hint="eastAsia" w:ascii="仿宋_GB2312" w:hAnsi="仿宋" w:eastAsia="仿宋_GB2312"/>
          <w:sz w:val="32"/>
          <w:szCs w:val="32"/>
          <w:lang w:eastAsia="zh-CN"/>
        </w:rPr>
        <w:t>分</w:t>
      </w:r>
      <w:r>
        <w:rPr>
          <w:rFonts w:hint="eastAsia" w:ascii="仿宋_GB2312" w:hAnsi="仿宋" w:eastAsia="仿宋_GB2312"/>
          <w:sz w:val="32"/>
          <w:szCs w:val="32"/>
        </w:rPr>
        <w:t>自主命题讲解和科技常识问答两个环节。参赛选手自</w:t>
      </w:r>
      <w:r>
        <w:rPr>
          <w:rFonts w:hint="eastAsia" w:ascii="仿宋_GB2312" w:hAnsi="仿宋" w:eastAsia="仿宋_GB2312"/>
          <w:sz w:val="32"/>
          <w:szCs w:val="32"/>
          <w:lang w:eastAsia="zh-CN"/>
        </w:rPr>
        <w:t>主</w:t>
      </w:r>
      <w:r>
        <w:rPr>
          <w:rFonts w:hint="eastAsia" w:ascii="仿宋_GB2312" w:hAnsi="仿宋" w:eastAsia="仿宋_GB2312"/>
          <w:sz w:val="32"/>
          <w:szCs w:val="32"/>
        </w:rPr>
        <w:t>拟定讲解题目。比赛时使用普通话。</w:t>
      </w:r>
    </w:p>
    <w:p>
      <w:pPr>
        <w:spacing w:beforeLines="0" w:line="500" w:lineRule="exact"/>
        <w:ind w:firstLine="640" w:firstLineChars="200"/>
        <w:rPr>
          <w:rFonts w:ascii="仿宋_GB2312" w:hAnsi="仿宋" w:eastAsia="仿宋_GB2312"/>
          <w:sz w:val="32"/>
          <w:szCs w:val="32"/>
        </w:rPr>
      </w:pPr>
      <w:r>
        <w:rPr>
          <w:rFonts w:hint="eastAsia" w:ascii="仿宋_GB2312" w:hAnsi="仿宋" w:eastAsia="仿宋_GB2312"/>
          <w:b/>
          <w:sz w:val="32"/>
          <w:szCs w:val="32"/>
        </w:rPr>
        <w:t>自主命题讲解</w:t>
      </w:r>
      <w:r>
        <w:rPr>
          <w:rFonts w:hint="eastAsia" w:ascii="仿宋_GB2312" w:hAnsi="仿宋" w:eastAsia="仿宋_GB2312"/>
          <w:sz w:val="32"/>
          <w:szCs w:val="32"/>
        </w:rPr>
        <w:t>主题内容以《中国公民科学素质基准》中的自然科学和社会科学知识为主，自主命题环节选手可通过表述设定场景和对象。自主命题讲解时间为4分钟，由选手自行确定一个科普内容命题进行讲解。讲解时，选手必须借助多媒体等多种手段辅助进行讲解，丰富舞台效果。</w:t>
      </w:r>
    </w:p>
    <w:p>
      <w:pPr>
        <w:spacing w:beforeLines="0" w:line="500" w:lineRule="exact"/>
        <w:ind w:firstLine="640" w:firstLineChars="200"/>
        <w:rPr>
          <w:rFonts w:ascii="仿宋_GB2312" w:hAnsi="仿宋" w:eastAsia="仿宋_GB2312"/>
          <w:sz w:val="32"/>
          <w:szCs w:val="32"/>
        </w:rPr>
      </w:pPr>
      <w:r>
        <w:rPr>
          <w:rFonts w:hint="eastAsia" w:ascii="仿宋_GB2312" w:hAnsi="仿宋" w:eastAsia="仿宋_GB2312"/>
          <w:b/>
          <w:sz w:val="32"/>
          <w:szCs w:val="32"/>
        </w:rPr>
        <w:t>科技常识问答</w:t>
      </w:r>
      <w:r>
        <w:rPr>
          <w:rFonts w:hint="eastAsia" w:ascii="仿宋_GB2312" w:hAnsi="仿宋" w:eastAsia="仿宋_GB2312"/>
          <w:sz w:val="32"/>
          <w:szCs w:val="32"/>
        </w:rPr>
        <w:t>每题限时10秒，主要考察选手的科技素养与知识水平，比赛时由选手随机从《中国公民科学素质基准》题库中抽取两道题目进行回答。</w:t>
      </w:r>
    </w:p>
    <w:p>
      <w:pPr>
        <w:spacing w:beforeLines="0" w:line="500" w:lineRule="exact"/>
        <w:ind w:firstLine="640" w:firstLineChars="200"/>
        <w:rPr>
          <w:rFonts w:ascii="仿宋_GB2312" w:hAnsi="仿宋" w:eastAsia="仿宋_GB2312"/>
          <w:b/>
          <w:sz w:val="32"/>
          <w:szCs w:val="32"/>
        </w:rPr>
      </w:pPr>
      <w:r>
        <w:rPr>
          <w:rFonts w:hint="eastAsia" w:ascii="仿宋_GB2312" w:hAnsi="仿宋" w:eastAsia="仿宋_GB2312"/>
          <w:b/>
          <w:sz w:val="32"/>
          <w:szCs w:val="32"/>
        </w:rPr>
        <w:t>2.比赛要求</w:t>
      </w:r>
    </w:p>
    <w:p>
      <w:pPr>
        <w:spacing w:beforeLines="0"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比赛由选手抽签确定上场顺序，配带号码牌上场。选手出场时，播放20秒自我介绍视频，该环节不作为比赛评分内容，视频由选手准备。选手出场后不再进行自我介绍，直接开始计时依次进行自主命题讲解和科技常识问答。选手讲解时可说明情景设置情况，明确讲解对象，并可利用道具或声光电等多媒体工具配合讲解。要求配戴耳麦，拿遥控器或激光笔，全程自行操作视频或PPT等播放设备，不得由别人协助。</w:t>
      </w:r>
    </w:p>
    <w:p>
      <w:pPr>
        <w:spacing w:beforeLines="0" w:line="500" w:lineRule="exact"/>
        <w:ind w:firstLine="640" w:firstLineChars="200"/>
        <w:rPr>
          <w:rFonts w:ascii="仿宋_GB2312" w:hAnsi="仿宋" w:eastAsia="仿宋_GB2312"/>
          <w:b/>
          <w:sz w:val="32"/>
          <w:szCs w:val="32"/>
        </w:rPr>
      </w:pPr>
      <w:r>
        <w:rPr>
          <w:rFonts w:hint="eastAsia" w:ascii="仿宋_GB2312" w:hAnsi="仿宋" w:eastAsia="仿宋_GB2312"/>
          <w:b/>
          <w:sz w:val="32"/>
          <w:szCs w:val="32"/>
        </w:rPr>
        <w:t>3.评分标准</w:t>
      </w:r>
    </w:p>
    <w:p>
      <w:pPr>
        <w:spacing w:beforeLines="0"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总分</w:t>
      </w:r>
      <w:r>
        <w:rPr>
          <w:rFonts w:hint="eastAsia" w:ascii="仿宋_GB2312" w:hAnsi="仿宋" w:eastAsia="仿宋_GB2312"/>
          <w:b/>
          <w:sz w:val="32"/>
          <w:szCs w:val="32"/>
        </w:rPr>
        <w:t>100分</w:t>
      </w:r>
      <w:r>
        <w:rPr>
          <w:rFonts w:hint="eastAsia" w:ascii="仿宋_GB2312" w:hAnsi="仿宋" w:eastAsia="仿宋_GB2312"/>
          <w:sz w:val="32"/>
          <w:szCs w:val="32"/>
        </w:rPr>
        <w:t>，评分保留到小数点后两位，超时由记分员进行扣分记录。</w:t>
      </w:r>
    </w:p>
    <w:p>
      <w:pPr>
        <w:spacing w:beforeLines="0" w:line="500" w:lineRule="exact"/>
        <w:ind w:firstLine="640" w:firstLineChars="200"/>
        <w:rPr>
          <w:rFonts w:ascii="仿宋_GB2312" w:hAnsi="仿宋" w:eastAsia="仿宋_GB2312"/>
          <w:sz w:val="32"/>
          <w:szCs w:val="32"/>
        </w:rPr>
      </w:pPr>
      <w:r>
        <w:rPr>
          <w:rFonts w:hint="eastAsia" w:ascii="仿宋_GB2312" w:hAnsi="仿宋" w:eastAsia="仿宋_GB2312"/>
          <w:b/>
          <w:sz w:val="32"/>
          <w:szCs w:val="32"/>
        </w:rPr>
        <w:t>（1）自主命题讲解（100分）</w:t>
      </w:r>
      <w:r>
        <w:rPr>
          <w:rFonts w:hint="eastAsia" w:ascii="仿宋_GB2312" w:hAnsi="仿宋" w:eastAsia="仿宋_GB2312"/>
          <w:sz w:val="32"/>
          <w:szCs w:val="32"/>
        </w:rPr>
        <w:t>。评委分别从内容陈述、表达效果、整体形象三方面进行评分。内容必须包含自然科学和技术知识，否则不得分。</w:t>
      </w:r>
    </w:p>
    <w:p>
      <w:pPr>
        <w:spacing w:beforeLines="0"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① 内容陈述 （40分）</w:t>
      </w:r>
    </w:p>
    <w:p>
      <w:pPr>
        <w:spacing w:beforeLines="0"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   科学准确、重点突出；</w:t>
      </w:r>
    </w:p>
    <w:p>
      <w:pPr>
        <w:spacing w:beforeLines="0"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   层次清楚、合乎逻辑。</w:t>
      </w:r>
    </w:p>
    <w:p>
      <w:pPr>
        <w:spacing w:beforeLines="0"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② 表达效果（40分）</w:t>
      </w:r>
    </w:p>
    <w:p>
      <w:pPr>
        <w:spacing w:beforeLines="0"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   发音标准、吐字清晰；</w:t>
      </w:r>
    </w:p>
    <w:p>
      <w:pPr>
        <w:spacing w:beforeLines="0"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   通俗易懂、深入浅出。</w:t>
      </w:r>
    </w:p>
    <w:p>
      <w:pPr>
        <w:spacing w:beforeLines="0"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③ 整体形象（20分）</w:t>
      </w:r>
    </w:p>
    <w:p>
      <w:pPr>
        <w:spacing w:beforeLines="0"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   衣着得体、精神饱满；</w:t>
      </w:r>
    </w:p>
    <w:p>
      <w:pPr>
        <w:spacing w:beforeLines="0"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   举止大方、自然协调。</w:t>
      </w:r>
    </w:p>
    <w:p>
      <w:pPr>
        <w:spacing w:beforeLines="0" w:line="500" w:lineRule="exact"/>
        <w:ind w:firstLine="640" w:firstLineChars="200"/>
        <w:rPr>
          <w:rFonts w:ascii="仿宋_GB2312" w:hAnsi="仿宋" w:eastAsia="仿宋_GB2312"/>
          <w:sz w:val="32"/>
          <w:szCs w:val="32"/>
        </w:rPr>
      </w:pPr>
      <w:r>
        <w:rPr>
          <w:rFonts w:hint="eastAsia" w:ascii="仿宋_GB2312" w:hAnsi="仿宋" w:eastAsia="仿宋_GB2312"/>
          <w:b/>
          <w:sz w:val="32"/>
          <w:szCs w:val="32"/>
        </w:rPr>
        <w:t>（2）科技常识问答环节</w:t>
      </w:r>
      <w:r>
        <w:rPr>
          <w:rFonts w:hint="eastAsia" w:ascii="仿宋_GB2312" w:hAnsi="仿宋" w:eastAsia="仿宋_GB2312"/>
          <w:sz w:val="32"/>
          <w:szCs w:val="32"/>
        </w:rPr>
        <w:t>：选手每人随机选取2道科技常识问题（从《中国公民科学素质基准》题库中选取）进行回答，由记分员在监督组的监督下根据答题情况记录选手扣分情况。</w:t>
      </w:r>
    </w:p>
    <w:p>
      <w:pPr>
        <w:shd w:val="clear" w:color="auto" w:fill="FFFFFF"/>
        <w:snapToGrid w:val="0"/>
        <w:spacing w:beforeLines="0" w:line="5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注：</w:t>
      </w:r>
      <w:r>
        <w:rPr>
          <w:rFonts w:hint="eastAsia" w:ascii="仿宋_GB2312" w:hAnsi="仿宋" w:eastAsia="仿宋_GB2312"/>
          <w:b/>
          <w:sz w:val="32"/>
          <w:szCs w:val="32"/>
        </w:rPr>
        <w:t>科技常识问答</w:t>
      </w:r>
      <w:r>
        <w:rPr>
          <w:rFonts w:hint="eastAsia" w:ascii="仿宋_GB2312" w:hAnsi="仿宋" w:eastAsia="仿宋_GB2312"/>
          <w:sz w:val="32"/>
          <w:szCs w:val="32"/>
        </w:rPr>
        <w:t>环节将根据最终报名人数进行调整。</w:t>
      </w:r>
    </w:p>
    <w:p>
      <w:pPr>
        <w:spacing w:beforeLines="0" w:line="500" w:lineRule="exact"/>
        <w:ind w:firstLine="640" w:firstLineChars="200"/>
        <w:rPr>
          <w:rFonts w:ascii="仿宋_GB2312" w:hAnsi="仿宋" w:eastAsia="仿宋_GB2312"/>
          <w:b/>
          <w:sz w:val="32"/>
          <w:szCs w:val="32"/>
        </w:rPr>
      </w:pPr>
      <w:r>
        <w:rPr>
          <w:rFonts w:hint="eastAsia" w:ascii="仿宋_GB2312" w:hAnsi="仿宋" w:eastAsia="仿宋_GB2312"/>
          <w:b/>
          <w:sz w:val="32"/>
          <w:szCs w:val="32"/>
        </w:rPr>
        <w:t>（3）扣分规则</w:t>
      </w:r>
    </w:p>
    <w:p>
      <w:pPr>
        <w:spacing w:beforeLines="0"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自主命题讲解限时4分钟，不足3分钟扣2分，超时10秒（含10秒）讲解中止扣2分。科技常识问答每题限时10秒，选手须在10秒内作答，回答正确不扣分，不回答、回答错误或超时1题扣1分，2题扣2分。</w:t>
      </w:r>
    </w:p>
    <w:p>
      <w:pPr>
        <w:spacing w:beforeLines="0" w:line="500" w:lineRule="exact"/>
        <w:ind w:firstLine="640" w:firstLineChars="200"/>
        <w:rPr>
          <w:rFonts w:ascii="仿宋_GB2312" w:hAnsi="仿宋" w:eastAsia="仿宋_GB2312"/>
          <w:b/>
          <w:sz w:val="32"/>
          <w:szCs w:val="32"/>
        </w:rPr>
      </w:pPr>
      <w:r>
        <w:rPr>
          <w:rFonts w:hint="eastAsia" w:ascii="仿宋_GB2312" w:hAnsi="仿宋" w:eastAsia="仿宋_GB2312"/>
          <w:b/>
          <w:sz w:val="32"/>
          <w:szCs w:val="32"/>
        </w:rPr>
        <w:t>4.评分方式</w:t>
      </w:r>
    </w:p>
    <w:p>
      <w:pPr>
        <w:spacing w:beforeLines="0"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打分采用现场打分、亮分和公布成绩的方式，去掉一个最高分和一个最低分，其他评委打分的平均数减去</w:t>
      </w:r>
      <w:r>
        <w:rPr>
          <w:rFonts w:hint="eastAsia" w:ascii="仿宋_GB2312" w:hAnsi="仿宋_GB2312" w:eastAsia="仿宋_GB2312"/>
          <w:sz w:val="32"/>
          <w:szCs w:val="28"/>
        </w:rPr>
        <w:t>超时、少时或答错扣分的分数，</w:t>
      </w:r>
      <w:r>
        <w:rPr>
          <w:rFonts w:hint="eastAsia" w:ascii="仿宋_GB2312" w:hAnsi="仿宋" w:eastAsia="仿宋_GB2312"/>
          <w:sz w:val="32"/>
          <w:szCs w:val="32"/>
        </w:rPr>
        <w:t>为选手最终得分。评委不对选手的时间使用情况进行扣分，由计分工作人员进行扣分。若遇选手总分数相同则按评委的第二个最高分高低决定名次，若评委的第二个最高分相同则按第三个最高分高低决定名次，以此类推；若遇评委具体打分均相同，则在监督组的监督下抽签决定名次。</w:t>
      </w:r>
    </w:p>
    <w:p>
      <w:pPr>
        <w:spacing w:beforeLines="0" w:line="50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（二）第二场：全国科普讲解大赛选手选拔赛</w:t>
      </w:r>
    </w:p>
    <w:p>
      <w:pPr>
        <w:spacing w:beforeLines="0" w:line="500" w:lineRule="exact"/>
        <w:ind w:firstLine="640" w:firstLineChars="200"/>
        <w:rPr>
          <w:rFonts w:ascii="仿宋_GB2312" w:hAnsi="仿宋" w:eastAsia="仿宋_GB2312"/>
          <w:b/>
          <w:sz w:val="32"/>
          <w:szCs w:val="32"/>
        </w:rPr>
      </w:pPr>
      <w:r>
        <w:rPr>
          <w:rFonts w:hint="eastAsia" w:ascii="仿宋_GB2312" w:hAnsi="仿宋" w:eastAsia="仿宋_GB2312"/>
          <w:b/>
          <w:sz w:val="32"/>
          <w:szCs w:val="32"/>
        </w:rPr>
        <w:t>1.选拔赛规则</w:t>
      </w:r>
    </w:p>
    <w:p>
      <w:pPr>
        <w:spacing w:beforeLines="0"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主办方组织决赛成绩前6名的选手参加全国科普讲解大赛选手选拔赛（随机命题讲解）。决赛成绩和选拔赛成绩相加形成总分。根据全国科普讲解大赛的要求和名额指标，推荐总分排前的若干名选手代表福建省参加全国科普讲解大赛。在全国决赛报名时间截止前如推荐选手无法参加决赛，将推荐后一名选手参加决赛，以此类推。</w:t>
      </w:r>
    </w:p>
    <w:p>
      <w:pPr>
        <w:spacing w:beforeLines="0" w:line="500" w:lineRule="exact"/>
        <w:ind w:firstLine="640" w:firstLineChars="200"/>
        <w:rPr>
          <w:rFonts w:ascii="仿宋_GB2312" w:hAnsi="仿宋" w:eastAsia="仿宋_GB2312"/>
          <w:b/>
          <w:sz w:val="32"/>
          <w:szCs w:val="32"/>
        </w:rPr>
      </w:pPr>
      <w:r>
        <w:rPr>
          <w:rFonts w:hint="eastAsia" w:ascii="仿宋_GB2312" w:hAnsi="仿宋" w:eastAsia="仿宋_GB2312"/>
          <w:b/>
          <w:sz w:val="32"/>
          <w:szCs w:val="32"/>
        </w:rPr>
        <w:t>2.比赛内容</w:t>
      </w:r>
    </w:p>
    <w:p>
      <w:pPr>
        <w:spacing w:beforeLines="0"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选拔赛为随机命题讲解，时间2分钟，考核选手的随机应变能力和对相关问题的个人见解。候选命题为看图讲解，内容从全国科普讲解大赛随机命题库中选取，并在赛前公布，供选手提前做好准备。</w:t>
      </w:r>
    </w:p>
    <w:p>
      <w:pPr>
        <w:spacing w:beforeLines="0"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选手按第一场比赛排名顺序，由低到高依次上场随机抽取讲解题目，并在20秒准备时间后开始计时讲解。</w:t>
      </w:r>
    </w:p>
    <w:p>
      <w:pPr>
        <w:shd w:val="clear" w:color="auto" w:fill="FFFFFF"/>
        <w:snapToGrid w:val="0"/>
        <w:spacing w:beforeLines="0" w:line="500" w:lineRule="exact"/>
        <w:ind w:firstLine="640" w:firstLineChars="200"/>
        <w:jc w:val="left"/>
        <w:rPr>
          <w:rFonts w:ascii="仿宋_GB2312" w:hAnsi="仿宋" w:eastAsia="仿宋_GB2312"/>
          <w:b/>
          <w:sz w:val="32"/>
          <w:szCs w:val="32"/>
        </w:rPr>
      </w:pPr>
      <w:r>
        <w:rPr>
          <w:rFonts w:hint="eastAsia" w:ascii="仿宋_GB2312" w:hAnsi="仿宋" w:eastAsia="仿宋_GB2312"/>
          <w:b/>
          <w:sz w:val="32"/>
          <w:szCs w:val="32"/>
        </w:rPr>
        <w:t>3.评分标准</w:t>
      </w:r>
    </w:p>
    <w:p>
      <w:pPr>
        <w:shd w:val="clear" w:color="auto" w:fill="FFFFFF"/>
        <w:snapToGrid w:val="0"/>
        <w:spacing w:beforeLines="0" w:line="5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随机命题讲解（</w:t>
      </w:r>
      <w:r>
        <w:rPr>
          <w:rFonts w:hint="eastAsia" w:ascii="仿宋_GB2312" w:hAnsi="仿宋" w:eastAsia="仿宋_GB2312"/>
          <w:b/>
          <w:sz w:val="32"/>
          <w:szCs w:val="32"/>
        </w:rPr>
        <w:t>总分10分</w:t>
      </w:r>
      <w:r>
        <w:rPr>
          <w:rFonts w:hint="eastAsia" w:ascii="仿宋_GB2312" w:hAnsi="仿宋" w:eastAsia="仿宋_GB2312"/>
          <w:sz w:val="32"/>
          <w:szCs w:val="32"/>
        </w:rPr>
        <w:t>）。评分保留到小数点后两位，评委将根据以下四个方面进行评分：</w:t>
      </w:r>
    </w:p>
    <w:p>
      <w:pPr>
        <w:shd w:val="clear" w:color="auto" w:fill="FFFFFF"/>
        <w:snapToGrid w:val="0"/>
        <w:spacing w:beforeLines="0" w:line="5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（1）主题立论一致，合乎逻辑；</w:t>
      </w:r>
    </w:p>
    <w:p>
      <w:pPr>
        <w:shd w:val="clear" w:color="auto" w:fill="FFFFFF"/>
        <w:snapToGrid w:val="0"/>
        <w:spacing w:beforeLines="0" w:line="5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（2）内容重点突出，寓意深刻；</w:t>
      </w:r>
    </w:p>
    <w:p>
      <w:pPr>
        <w:shd w:val="clear" w:color="auto" w:fill="FFFFFF"/>
        <w:snapToGrid w:val="0"/>
        <w:spacing w:beforeLines="0" w:line="5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（3）密切联系生活，特色鲜明；</w:t>
      </w:r>
    </w:p>
    <w:p>
      <w:pPr>
        <w:shd w:val="clear" w:color="auto" w:fill="FFFFFF"/>
        <w:snapToGrid w:val="0"/>
        <w:spacing w:beforeLines="0" w:line="5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（4）讲解思路清晰，语言流畅。</w:t>
      </w:r>
    </w:p>
    <w:p>
      <w:pPr>
        <w:spacing w:beforeLines="0"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讲解内容必须与题目密切相关，并且包含自然科学和技术知识，否则不得分。</w:t>
      </w:r>
    </w:p>
    <w:p>
      <w:pPr>
        <w:shd w:val="clear" w:color="auto" w:fill="FFFFFF"/>
        <w:snapToGrid w:val="0"/>
        <w:spacing w:beforeLines="0" w:line="5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随机命题讲解限时2分钟，不足1分钟扣1分，超时10秒（含10秒）后扣1分，讲解中止。超时由记分员进行扣分记录。</w:t>
      </w:r>
    </w:p>
    <w:p>
      <w:pPr>
        <w:shd w:val="clear" w:color="auto" w:fill="FFFFFF"/>
        <w:snapToGrid w:val="0"/>
        <w:spacing w:beforeLines="0" w:line="500" w:lineRule="exact"/>
        <w:ind w:firstLine="640" w:firstLineChars="200"/>
        <w:jc w:val="left"/>
        <w:rPr>
          <w:rFonts w:ascii="仿宋_GB2312" w:hAnsi="仿宋" w:eastAsia="仿宋_GB2312"/>
          <w:b/>
          <w:sz w:val="32"/>
          <w:szCs w:val="32"/>
        </w:rPr>
      </w:pPr>
      <w:r>
        <w:rPr>
          <w:rFonts w:hint="eastAsia" w:ascii="仿宋_GB2312" w:hAnsi="仿宋" w:eastAsia="仿宋_GB2312"/>
          <w:b/>
          <w:sz w:val="32"/>
          <w:szCs w:val="32"/>
        </w:rPr>
        <w:t>4.评分方式</w:t>
      </w:r>
    </w:p>
    <w:p>
      <w:pPr>
        <w:shd w:val="clear" w:color="auto" w:fill="FFFFFF"/>
        <w:snapToGrid w:val="0"/>
        <w:spacing w:beforeLines="0" w:line="5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打分采用现场打分、亮分和公布成绩的方式，去掉一个最高分和一个最低分，其他评委打分的平均分减去超时、少时的扣分，为选手本轮得分。评委不对选手的时间使用情况进行扣分，由记分员进行扣分。</w:t>
      </w:r>
    </w:p>
    <w:p>
      <w:pPr>
        <w:shd w:val="clear" w:color="auto" w:fill="FFFFFF"/>
        <w:snapToGrid w:val="0"/>
        <w:spacing w:beforeLines="0" w:line="500" w:lineRule="exact"/>
        <w:ind w:firstLine="640" w:firstLineChars="200"/>
        <w:jc w:val="left"/>
        <w:rPr>
          <w:rFonts w:ascii="仿宋_GB2312" w:hAnsi="仿宋" w:eastAsia="仿宋_GB2312"/>
          <w:b/>
          <w:sz w:val="32"/>
          <w:szCs w:val="32"/>
        </w:rPr>
      </w:pPr>
      <w:r>
        <w:rPr>
          <w:rFonts w:hint="eastAsia" w:ascii="仿宋_GB2312" w:hAnsi="仿宋" w:eastAsia="仿宋_GB2312"/>
          <w:b/>
          <w:sz w:val="32"/>
          <w:szCs w:val="32"/>
        </w:rPr>
        <w:t>5.推荐标准</w:t>
      </w:r>
    </w:p>
    <w:p>
      <w:pPr>
        <w:shd w:val="clear" w:color="auto" w:fill="FFFFFF"/>
        <w:snapToGrid w:val="0"/>
        <w:spacing w:beforeLines="0" w:line="5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根据2021年全国科普讲解大赛的名额指标，主办方将推</w:t>
      </w:r>
      <w:r>
        <w:rPr>
          <w:rFonts w:hint="eastAsia" w:ascii="仿宋_GB2312" w:hAnsi="仿宋" w:eastAsia="仿宋_GB2312"/>
          <w:b w:val="0"/>
          <w:bCs w:val="0"/>
          <w:sz w:val="32"/>
          <w:szCs w:val="32"/>
        </w:rPr>
        <w:t>荐总分排前的若干名选手代表福建省参加2021年全国科普讲解大赛。若遇选手总分数相同则按第二场评委的第二个最高分高低决定名</w:t>
      </w:r>
      <w:r>
        <w:rPr>
          <w:rFonts w:hint="eastAsia" w:ascii="仿宋_GB2312" w:hAnsi="仿宋" w:eastAsia="仿宋_GB2312"/>
          <w:sz w:val="32"/>
          <w:szCs w:val="32"/>
        </w:rPr>
        <w:t>次，若评委的第二个最高分相同则按第三个最高分高低决定名次，以此类推；若第二轮打分全部相同，则按第一场打分规则决定名次，若遇评委具体打分均相同，则在监督组的监督下抽签决定名次。</w:t>
      </w:r>
    </w:p>
    <w:p>
      <w:pPr>
        <w:shd w:val="clear" w:color="auto" w:fill="FFFFFF"/>
        <w:snapToGrid w:val="0"/>
        <w:spacing w:beforeLines="0" w:line="500" w:lineRule="exact"/>
        <w:ind w:firstLine="640" w:firstLineChars="200"/>
        <w:jc w:val="left"/>
        <w:rPr>
          <w:rFonts w:hint="eastAsia" w:ascii="仿宋_GB2312" w:hAnsi="仿宋" w:eastAsia="仿宋_GB2312"/>
          <w:sz w:val="32"/>
          <w:szCs w:val="32"/>
        </w:rPr>
      </w:pPr>
      <w:r>
        <w:rPr>
          <w:rFonts w:hint="eastAsia" w:ascii="仿宋_GB2312" w:hAnsi="仿宋" w:eastAsia="仿宋_GB2312"/>
          <w:b/>
          <w:sz w:val="32"/>
          <w:szCs w:val="32"/>
        </w:rPr>
        <w:t>注：</w:t>
      </w:r>
      <w:r>
        <w:rPr>
          <w:rFonts w:hint="eastAsia" w:ascii="仿宋_GB2312" w:hAnsi="仿宋" w:eastAsia="仿宋_GB2312"/>
          <w:sz w:val="32"/>
          <w:szCs w:val="32"/>
        </w:rPr>
        <w:t>每场比赛的最高分和最低分均不作为评比依据。</w:t>
      </w:r>
    </w:p>
    <w:p>
      <w:pPr>
        <w:spacing w:beforeLines="0" w:line="50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、奖项设置</w:t>
      </w:r>
    </w:p>
    <w:p>
      <w:pPr>
        <w:spacing w:beforeLines="0" w:line="500" w:lineRule="exact"/>
        <w:ind w:firstLine="640" w:firstLineChars="200"/>
        <w:rPr>
          <w:rFonts w:hint="eastAsia" w:ascii="楷体" w:hAnsi="楷体" w:eastAsia="楷体" w:cs="楷体"/>
          <w:b w:val="0"/>
          <w:bCs/>
          <w:color w:val="000000"/>
          <w:sz w:val="32"/>
        </w:rPr>
      </w:pPr>
      <w:r>
        <w:rPr>
          <w:rFonts w:hint="eastAsia" w:ascii="楷体" w:hAnsi="楷体" w:eastAsia="楷体" w:cs="楷体"/>
          <w:b w:val="0"/>
          <w:bCs/>
          <w:color w:val="000000"/>
          <w:sz w:val="32"/>
          <w:lang w:eastAsia="zh-CN"/>
        </w:rPr>
        <w:t>（一）</w:t>
      </w:r>
      <w:r>
        <w:rPr>
          <w:rFonts w:hint="eastAsia" w:ascii="楷体" w:hAnsi="楷体" w:eastAsia="楷体" w:cs="楷体"/>
          <w:b w:val="0"/>
          <w:bCs/>
          <w:color w:val="000000"/>
          <w:sz w:val="32"/>
        </w:rPr>
        <w:t>选手奖项</w:t>
      </w:r>
    </w:p>
    <w:p>
      <w:pPr>
        <w:spacing w:beforeLines="0"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比赛选手奖项设一等奖、二等奖、三等奖、优秀奖。获奖名额在赛前公布。</w:t>
      </w:r>
    </w:p>
    <w:p>
      <w:pPr>
        <w:spacing w:beforeLines="0" w:line="500" w:lineRule="exact"/>
        <w:ind w:firstLine="640" w:firstLineChars="200"/>
        <w:rPr>
          <w:rFonts w:hint="eastAsia" w:ascii="楷体" w:hAnsi="楷体" w:eastAsia="楷体" w:cs="楷体"/>
          <w:b w:val="0"/>
          <w:bCs/>
          <w:color w:val="000000"/>
          <w:sz w:val="32"/>
        </w:rPr>
      </w:pPr>
      <w:r>
        <w:rPr>
          <w:rFonts w:hint="eastAsia" w:ascii="楷体" w:hAnsi="楷体" w:eastAsia="楷体" w:cs="楷体"/>
          <w:b w:val="0"/>
          <w:bCs/>
          <w:color w:val="000000"/>
          <w:sz w:val="32"/>
          <w:lang w:eastAsia="zh-CN"/>
        </w:rPr>
        <w:t>（二）</w:t>
      </w:r>
      <w:r>
        <w:rPr>
          <w:rFonts w:hint="eastAsia" w:ascii="楷体" w:hAnsi="楷体" w:eastAsia="楷体" w:cs="楷体"/>
          <w:b w:val="0"/>
          <w:bCs/>
          <w:color w:val="000000"/>
          <w:sz w:val="32"/>
        </w:rPr>
        <w:t>组织奖项</w:t>
      </w:r>
    </w:p>
    <w:p>
      <w:pPr>
        <w:spacing w:beforeLines="0"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比赛设优秀组织奖。奖励本次大赛的预赛优秀组织单位。参评优秀组织奖的单位需于5月</w:t>
      </w:r>
      <w:r>
        <w:rPr>
          <w:rFonts w:hint="eastAsia" w:ascii="仿宋_GB2312" w:hAnsi="仿宋"/>
          <w:sz w:val="32"/>
          <w:szCs w:val="32"/>
          <w:lang w:val="en-US" w:eastAsia="zh-CN"/>
        </w:rPr>
        <w:t>21</w:t>
      </w:r>
      <w:r>
        <w:rPr>
          <w:rFonts w:hint="eastAsia" w:ascii="仿宋_GB2312" w:hAnsi="仿宋" w:eastAsia="仿宋_GB2312"/>
          <w:sz w:val="32"/>
          <w:szCs w:val="32"/>
        </w:rPr>
        <w:t>日前提交预赛组织视频（原版视频及2分钟剪辑版）、新闻报道原稿及截图、活动现场照片（5张）等相关材料作为参评依据。</w:t>
      </w:r>
    </w:p>
    <w:p>
      <w:pPr>
        <w:spacing w:beforeLines="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评审</w:t>
      </w:r>
      <w:r>
        <w:rPr>
          <w:rFonts w:hint="eastAsia" w:ascii="黑体" w:hAnsi="黑体" w:eastAsia="黑体" w:cs="黑体"/>
          <w:sz w:val="32"/>
          <w:szCs w:val="32"/>
          <w:lang w:eastAsia="zh-CN"/>
        </w:rPr>
        <w:t>与</w:t>
      </w:r>
      <w:r>
        <w:rPr>
          <w:rFonts w:hint="eastAsia" w:ascii="黑体" w:hAnsi="黑体" w:eastAsia="黑体" w:cs="黑体"/>
          <w:sz w:val="32"/>
          <w:szCs w:val="32"/>
        </w:rPr>
        <w:t>监督</w:t>
      </w:r>
    </w:p>
    <w:p>
      <w:pPr>
        <w:spacing w:beforeLines="0" w:line="50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（一）评审专家组</w:t>
      </w:r>
    </w:p>
    <w:p>
      <w:pPr>
        <w:spacing w:beforeLines="0"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主办方将邀请不同行业、不同领域的</w:t>
      </w:r>
      <w:r>
        <w:rPr>
          <w:rFonts w:hint="eastAsia" w:ascii="仿宋_GB2312" w:hAnsi="仿宋" w:eastAsia="仿宋_GB2312"/>
          <w:sz w:val="32"/>
          <w:szCs w:val="32"/>
          <w:lang w:val="en-US" w:eastAsia="zh-CN"/>
        </w:rPr>
        <w:t>5-</w:t>
      </w:r>
      <w:r>
        <w:rPr>
          <w:rFonts w:hint="eastAsia" w:ascii="仿宋_GB2312" w:hAnsi="仿宋" w:eastAsia="仿宋_GB2312"/>
          <w:sz w:val="32"/>
          <w:szCs w:val="32"/>
        </w:rPr>
        <w:t>7位专家组成评审专家组，并推荐一名组长。</w:t>
      </w:r>
    </w:p>
    <w:p>
      <w:pPr>
        <w:spacing w:beforeLines="0" w:line="500" w:lineRule="exact"/>
        <w:ind w:firstLine="640" w:firstLineChars="200"/>
        <w:rPr>
          <w:rFonts w:hint="eastAsia" w:ascii="楷体" w:hAnsi="楷体" w:eastAsia="楷体" w:cs="楷体"/>
          <w:b w:val="0"/>
          <w:bCs/>
          <w:color w:val="000000"/>
          <w:sz w:val="32"/>
        </w:rPr>
      </w:pPr>
      <w:r>
        <w:rPr>
          <w:rFonts w:hint="eastAsia" w:ascii="楷体" w:hAnsi="楷体" w:eastAsia="楷体" w:cs="楷体"/>
          <w:b w:val="0"/>
          <w:bCs/>
          <w:color w:val="000000"/>
          <w:sz w:val="32"/>
        </w:rPr>
        <w:t>（二）监督组</w:t>
      </w:r>
    </w:p>
    <w:p>
      <w:pPr>
        <w:spacing w:beforeLines="0" w:line="5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由3家主办单位各派一名代表组成，对比赛进行全程监督，并对比赛中出现的问题进行处理。</w:t>
      </w:r>
    </w:p>
    <w:p>
      <w:pPr>
        <w:spacing w:beforeLines="0" w:line="50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九</w:t>
      </w:r>
      <w:r>
        <w:rPr>
          <w:rFonts w:hint="eastAsia" w:ascii="黑体" w:hAnsi="黑体" w:eastAsia="黑体" w:cs="黑体"/>
          <w:sz w:val="32"/>
          <w:szCs w:val="32"/>
        </w:rPr>
        <w:t>、其他</w:t>
      </w:r>
      <w:r>
        <w:rPr>
          <w:rFonts w:hint="eastAsia" w:ascii="黑体" w:hAnsi="黑体" w:eastAsia="黑体" w:cs="黑体"/>
          <w:sz w:val="32"/>
          <w:szCs w:val="32"/>
          <w:lang w:eastAsia="zh-CN"/>
        </w:rPr>
        <w:t>事项</w:t>
      </w:r>
    </w:p>
    <w:p>
      <w:pPr>
        <w:spacing w:beforeLines="0" w:line="500" w:lineRule="exact"/>
        <w:ind w:firstLine="640" w:firstLineChars="200"/>
        <w:rPr>
          <w:rFonts w:ascii="仿宋_GB2312" w:hAnsi="仿宋" w:eastAsia="仿宋_GB2312"/>
          <w:sz w:val="32"/>
          <w:szCs w:val="32"/>
        </w:rPr>
      </w:pPr>
      <w:r>
        <w:rPr>
          <w:rFonts w:hint="eastAsia" w:ascii="楷体" w:hAnsi="楷体" w:eastAsia="楷体" w:cs="楷体"/>
          <w:b w:val="0"/>
          <w:bCs/>
          <w:sz w:val="32"/>
          <w:szCs w:val="32"/>
        </w:rPr>
        <w:t>（一）报名时间及要求。</w:t>
      </w:r>
      <w:r>
        <w:rPr>
          <w:rFonts w:hint="eastAsia" w:ascii="仿宋_GB2312" w:hAnsi="仿宋" w:eastAsia="仿宋_GB2312"/>
          <w:sz w:val="32"/>
          <w:szCs w:val="32"/>
        </w:rPr>
        <w:t>各选手填写《2021年福建省第五届科普讲解大赛报名表》，由推荐单位于</w:t>
      </w:r>
      <w:r>
        <w:rPr>
          <w:rFonts w:hint="eastAsia" w:ascii="仿宋_GB2312" w:hAnsi="仿宋" w:eastAsia="仿宋_GB2312"/>
          <w:b/>
          <w:bCs/>
          <w:sz w:val="32"/>
          <w:szCs w:val="32"/>
        </w:rPr>
        <w:t>5月</w:t>
      </w:r>
      <w:r>
        <w:rPr>
          <w:rFonts w:hint="eastAsia" w:ascii="仿宋_GB2312" w:hAnsi="仿宋"/>
          <w:b/>
          <w:bCs/>
          <w:sz w:val="32"/>
          <w:szCs w:val="32"/>
          <w:lang w:eastAsia="zh-CN"/>
        </w:rPr>
        <w:t>1</w:t>
      </w:r>
      <w:r>
        <w:rPr>
          <w:rFonts w:hint="eastAsia" w:ascii="仿宋_GB2312" w:hAnsi="仿宋"/>
          <w:b/>
          <w:bCs/>
          <w:sz w:val="32"/>
          <w:szCs w:val="32"/>
          <w:lang w:val="en-US" w:eastAsia="zh-CN"/>
        </w:rPr>
        <w:t>9</w:t>
      </w:r>
      <w:r>
        <w:rPr>
          <w:rFonts w:hint="eastAsia" w:ascii="仿宋_GB2312" w:hAnsi="仿宋" w:eastAsia="仿宋_GB2312"/>
          <w:b/>
          <w:bCs/>
          <w:sz w:val="32"/>
          <w:szCs w:val="32"/>
        </w:rPr>
        <w:t>日前</w:t>
      </w:r>
      <w:r>
        <w:rPr>
          <w:rFonts w:hint="eastAsia" w:ascii="仿宋_GB2312" w:hAnsi="仿宋" w:eastAsia="仿宋_GB2312"/>
          <w:sz w:val="32"/>
          <w:szCs w:val="32"/>
        </w:rPr>
        <w:t>提交纸质及电子版报名材料。</w:t>
      </w:r>
    </w:p>
    <w:p>
      <w:pPr>
        <w:spacing w:beforeLines="0" w:line="500" w:lineRule="exact"/>
        <w:ind w:firstLine="640" w:firstLineChars="200"/>
        <w:rPr>
          <w:rFonts w:ascii="仿宋_GB2312" w:hAnsi="仿宋" w:eastAsia="仿宋_GB2312"/>
          <w:color w:val="000000"/>
          <w:sz w:val="32"/>
        </w:rPr>
      </w:pPr>
      <w:r>
        <w:rPr>
          <w:rFonts w:hint="eastAsia" w:ascii="楷体" w:hAnsi="楷体" w:eastAsia="楷体" w:cs="楷体"/>
          <w:b w:val="0"/>
          <w:bCs/>
          <w:sz w:val="32"/>
          <w:szCs w:val="32"/>
        </w:rPr>
        <w:t>（二）</w:t>
      </w:r>
      <w:r>
        <w:rPr>
          <w:rFonts w:hint="eastAsia" w:ascii="楷体" w:hAnsi="楷体" w:eastAsia="楷体" w:cs="楷体"/>
          <w:b w:val="0"/>
          <w:bCs/>
          <w:color w:val="000000"/>
          <w:sz w:val="32"/>
          <w:szCs w:val="32"/>
        </w:rPr>
        <w:t>格式要求。</w:t>
      </w:r>
      <w:r>
        <w:rPr>
          <w:rFonts w:hint="eastAsia" w:ascii="仿宋_GB2312" w:hAnsi="仿宋" w:eastAsia="仿宋_GB2312"/>
          <w:bCs/>
          <w:color w:val="000000"/>
          <w:sz w:val="32"/>
        </w:rPr>
        <w:t>讲解PPT（可配有背景音乐）须为WPS、Office2010等通用版本，</w:t>
      </w:r>
      <w:r>
        <w:rPr>
          <w:rFonts w:hint="eastAsia" w:ascii="仿宋_GB2312" w:hAnsi="仿宋" w:eastAsia="仿宋_GB2312"/>
          <w:color w:val="000000"/>
          <w:sz w:val="32"/>
        </w:rPr>
        <w:t>画面比例16:9，PPT第一页无动作无声音（用于后台画面准备），选手自行操作到第二页开始声音和动作效果。PPT中若插入视频请使用WMV格式。20秒自我介绍视频统一采用MP4等通用编码格式，画面比例16:9，全高清1920*1080。自主命题讲解如采用视频讲解，也应采用上述视频格式。</w:t>
      </w:r>
    </w:p>
    <w:p>
      <w:pPr>
        <w:spacing w:beforeLines="0" w:line="500" w:lineRule="exact"/>
        <w:ind w:firstLine="640" w:firstLineChars="200"/>
        <w:rPr>
          <w:rFonts w:ascii="仿宋_GB2312" w:hAnsi="仿宋" w:eastAsia="仿宋_GB2312"/>
          <w:color w:val="000000"/>
          <w:sz w:val="32"/>
        </w:rPr>
      </w:pPr>
      <w:r>
        <w:rPr>
          <w:rFonts w:hint="eastAsia" w:ascii="楷体" w:hAnsi="楷体" w:eastAsia="楷体" w:cs="楷体"/>
          <w:b w:val="0"/>
          <w:bCs/>
          <w:color w:val="000000"/>
          <w:sz w:val="32"/>
          <w:szCs w:val="32"/>
        </w:rPr>
        <w:t>（三）会务联系。</w:t>
      </w:r>
      <w:r>
        <w:rPr>
          <w:rFonts w:hint="eastAsia" w:ascii="仿宋_GB2312" w:hAnsi="仿宋" w:eastAsia="仿宋_GB2312"/>
          <w:color w:val="000000"/>
          <w:sz w:val="32"/>
        </w:rPr>
        <w:t>为方便选手与主办方沟通交流，请</w:t>
      </w:r>
      <w:r>
        <w:rPr>
          <w:rFonts w:hint="eastAsia" w:ascii="仿宋_GB2312" w:hAnsi="仿宋" w:eastAsia="仿宋_GB2312"/>
          <w:color w:val="000000"/>
          <w:sz w:val="32"/>
          <w:lang w:eastAsia="zh-CN"/>
        </w:rPr>
        <w:t>参加决赛选手</w:t>
      </w:r>
      <w:r>
        <w:rPr>
          <w:rFonts w:hint="eastAsia" w:ascii="仿宋_GB2312" w:hAnsi="仿宋" w:eastAsia="仿宋_GB2312"/>
          <w:color w:val="000000"/>
          <w:sz w:val="32"/>
        </w:rPr>
        <w:t>自行添加进入大赛会务QQ群，群号为：592024684 。比赛题目、会务等事项将在群中</w:t>
      </w:r>
      <w:r>
        <w:rPr>
          <w:rFonts w:hint="eastAsia" w:ascii="仿宋_GB2312" w:hAnsi="仿宋" w:eastAsia="仿宋_GB2312"/>
          <w:color w:val="000000"/>
          <w:sz w:val="32"/>
          <w:lang w:eastAsia="zh-CN"/>
        </w:rPr>
        <w:t>适时</w:t>
      </w:r>
      <w:r>
        <w:rPr>
          <w:rFonts w:hint="eastAsia" w:ascii="仿宋_GB2312" w:hAnsi="仿宋" w:eastAsia="仿宋_GB2312"/>
          <w:color w:val="000000"/>
          <w:sz w:val="32"/>
        </w:rPr>
        <w:t>公布。</w:t>
      </w:r>
    </w:p>
    <w:p>
      <w:pPr>
        <w:spacing w:beforeLines="0" w:line="500" w:lineRule="exact"/>
        <w:ind w:firstLine="640" w:firstLineChars="200"/>
        <w:rPr>
          <w:rFonts w:hint="eastAsia" w:ascii="仿宋_GB2312" w:hAnsi="仿宋" w:eastAsia="仿宋_GB2312"/>
          <w:sz w:val="32"/>
          <w:szCs w:val="32"/>
        </w:rPr>
      </w:pPr>
      <w:r>
        <w:rPr>
          <w:rFonts w:hint="eastAsia" w:ascii="楷体" w:hAnsi="楷体" w:eastAsia="楷体" w:cs="楷体"/>
          <w:b w:val="0"/>
          <w:bCs/>
          <w:color w:val="000000"/>
          <w:sz w:val="32"/>
          <w:szCs w:val="32"/>
        </w:rPr>
        <w:t>（四）全国决赛培训。</w:t>
      </w:r>
      <w:r>
        <w:rPr>
          <w:rFonts w:hint="eastAsia" w:ascii="仿宋_GB2312" w:hAnsi="仿宋" w:eastAsia="仿宋_GB2312"/>
          <w:color w:val="000000"/>
          <w:sz w:val="32"/>
        </w:rPr>
        <w:t>为提升参加全国决赛选手的综合业务素质和展教水平，决赛前主办方将根据实际情况统一组织参加全国大赛的选手进行培训。培训授课费由主办方负责，选手的住宿费和伙食费自理。</w:t>
      </w:r>
    </w:p>
    <w:p>
      <w:pPr>
        <w:spacing w:beforeLines="0" w:line="5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本实施方案由福建省科技厅负责解释。</w:t>
      </w:r>
    </w:p>
    <w:p>
      <w:pPr>
        <w:spacing w:beforeLines="0" w:line="500" w:lineRule="exact"/>
        <w:ind w:firstLine="640" w:firstLineChars="200"/>
        <w:rPr>
          <w:rFonts w:hint="eastAsia" w:ascii="仿宋" w:hAnsi="仿宋" w:eastAsia="仿宋"/>
          <w:sz w:val="32"/>
          <w:szCs w:val="32"/>
        </w:rPr>
      </w:pPr>
      <w:r>
        <w:rPr>
          <w:rFonts w:hint="eastAsia"/>
        </w:rPr>
        <mc:AlternateContent>
          <mc:Choice Requires="wps">
            <w:drawing>
              <wp:anchor distT="0" distB="0" distL="114300" distR="114300" simplePos="0" relativeHeight="251666432" behindDoc="0" locked="0" layoutInCell="1" allowOverlap="1">
                <wp:simplePos x="0" y="0"/>
                <wp:positionH relativeFrom="column">
                  <wp:posOffset>1905</wp:posOffset>
                </wp:positionH>
                <wp:positionV relativeFrom="page">
                  <wp:posOffset>9081770</wp:posOffset>
                </wp:positionV>
                <wp:extent cx="5617845" cy="0"/>
                <wp:effectExtent l="0" t="0" r="0" b="0"/>
                <wp:wrapTopAndBottom/>
                <wp:docPr id="11" name="直接连接符 11"/>
                <wp:cNvGraphicFramePr/>
                <a:graphic xmlns:a="http://schemas.openxmlformats.org/drawingml/2006/main">
                  <a:graphicData uri="http://schemas.microsoft.com/office/word/2010/wordprocessingShape">
                    <wps:wsp>
                      <wps:cNvCnPr/>
                      <wps:spPr>
                        <a:xfrm>
                          <a:off x="0" y="0"/>
                          <a:ext cx="561784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15pt;margin-top:715.1pt;height:0pt;width:442.35pt;mso-position-vertical-relative:page;mso-wrap-distance-bottom:0pt;mso-wrap-distance-top:0pt;z-index:251666432;mso-width-relative:page;mso-height-relative:page;" filled="f" stroked="t" coordsize="21600,21600" o:gfxdata="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ddBEq1gAAAAoBAAAPAAAAAAAAAAEAIAAAACIAAABkcnMvZG93bnJldi54bWxQSwEC&#10;FAAUAAAACACHTuJAJYDDtvYBAADnAwAADgAAAAAAAAABACAAAAAlAQAAZHJzL2Uyb0RvYy54bWxQ&#10;SwUGAAAAAAYABgBZAQAAjQUAAAAA&#10;">
                <v:fill on="f" focussize="0,0"/>
                <v:stroke weight="1.25pt" color="#000000" joinstyle="round"/>
                <v:imagedata o:title=""/>
                <o:lock v:ext="edit" aspectratio="f"/>
                <w10:wrap type="topAndBottom"/>
              </v:line>
            </w:pict>
          </mc:Fallback>
        </mc:AlternateContent>
      </w:r>
      <w:r>
        <w:rPr>
          <w:rFonts w:hint="eastAsia"/>
        </w:rPr>
        <mc:AlternateContent>
          <mc:Choice Requires="wps">
            <w:drawing>
              <wp:anchor distT="0" distB="0" distL="114300" distR="114300" simplePos="0" relativeHeight="251665408" behindDoc="0" locked="0" layoutInCell="1" allowOverlap="1">
                <wp:simplePos x="0" y="0"/>
                <wp:positionH relativeFrom="column">
                  <wp:posOffset>1270</wp:posOffset>
                </wp:positionH>
                <wp:positionV relativeFrom="page">
                  <wp:posOffset>9479280</wp:posOffset>
                </wp:positionV>
                <wp:extent cx="5617845" cy="0"/>
                <wp:effectExtent l="0" t="0" r="0" b="0"/>
                <wp:wrapTopAndBottom/>
                <wp:docPr id="10" name="直接连接符 10"/>
                <wp:cNvGraphicFramePr/>
                <a:graphic xmlns:a="http://schemas.openxmlformats.org/drawingml/2006/main">
                  <a:graphicData uri="http://schemas.microsoft.com/office/word/2010/wordprocessingShape">
                    <wps:wsp>
                      <wps:cNvCnPr/>
                      <wps:spPr>
                        <a:xfrm>
                          <a:off x="0" y="0"/>
                          <a:ext cx="561784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1pt;margin-top:746.4pt;height:0pt;width:442.35pt;mso-position-vertical-relative:page;mso-wrap-distance-bottom:0pt;mso-wrap-distance-top:0pt;z-index:251665408;mso-width-relative:page;mso-height-relative:page;" filled="f" stroked="t" coordsize="21600,21600" o:gfxdata="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NsW6F1gAAAAoBAAAPAAAAAAAAAAEAIAAAACIAAABkcnMvZG93bnJldi54bWxQSwEC&#10;FAAUAAAACACHTuJAvCu9OPYBAADnAwAADgAAAAAAAAABACAAAAAlAQAAZHJzL2Uyb0RvYy54bWxQ&#10;SwUGAAAAAAYABgBZAQAAjQUAAAAA&#10;">
                <v:fill on="f" focussize="0,0"/>
                <v:stroke weight="1.25pt" color="#000000" joinstyle="round"/>
                <v:imagedata o:title=""/>
                <o:lock v:ext="edit" aspectratio="f"/>
                <w10:wrap type="topAndBottom"/>
              </v:line>
            </w:pict>
          </mc:Fallback>
        </mc:AlternateContent>
      </w:r>
    </w:p>
    <w:p>
      <w:pPr>
        <w:spacing w:beforeLines="0" w:line="540" w:lineRule="exact"/>
      </w:pPr>
      <w:r>
        <w:rPr>
          <w:rFonts w:hint="eastAsia"/>
        </w:rPr>
        <mc:AlternateContent>
          <mc:Choice Requires="wps">
            <w:drawing>
              <wp:anchor distT="0" distB="0" distL="114300" distR="114300" simplePos="0" relativeHeight="251664384" behindDoc="0" locked="0" layoutInCell="1" allowOverlap="1">
                <wp:simplePos x="0" y="0"/>
                <wp:positionH relativeFrom="margin">
                  <wp:posOffset>635</wp:posOffset>
                </wp:positionH>
                <wp:positionV relativeFrom="page">
                  <wp:posOffset>8302625</wp:posOffset>
                </wp:positionV>
                <wp:extent cx="5617845" cy="758825"/>
                <wp:effectExtent l="0" t="0" r="0" b="0"/>
                <wp:wrapTopAndBottom/>
                <wp:docPr id="8" name="文本框 8"/>
                <wp:cNvGraphicFramePr/>
                <a:graphic xmlns:a="http://schemas.openxmlformats.org/drawingml/2006/main">
                  <a:graphicData uri="http://schemas.microsoft.com/office/word/2010/wordprocessingShape">
                    <wps:wsp>
                      <wps:cNvSpPr txBox="1"/>
                      <wps:spPr>
                        <a:xfrm>
                          <a:off x="0" y="0"/>
                          <a:ext cx="5617845" cy="758825"/>
                        </a:xfrm>
                        <a:prstGeom prst="rect">
                          <a:avLst/>
                        </a:prstGeom>
                        <a:noFill/>
                        <a:ln>
                          <a:noFill/>
                        </a:ln>
                      </wps:spPr>
                      <wps:txbx>
                        <w:txbxContent>
                          <w:p>
                            <w:pPr>
                              <w:spacing w:line="560" w:lineRule="exact"/>
                              <w:rPr>
                                <w:rFonts w:hint="eastAsia" w:ascii="仿宋_GB2312"/>
                                <w:lang w:eastAsia="zh-CN"/>
                              </w:rPr>
                            </w:pPr>
                            <w:r>
                              <w:rPr>
                                <w:rFonts w:hint="eastAsia" w:ascii="仿宋_GB2312"/>
                              </w:rPr>
                              <w:t xml:space="preserve">  抄送：</w:t>
                            </w:r>
                            <w:bookmarkStart w:id="5" w:name="copydelivery"/>
                            <w:r>
                              <w:rPr>
                                <w:rFonts w:hint="eastAsia" w:ascii="仿宋_GB2312"/>
                                <w:lang w:eastAsia="zh-CN"/>
                              </w:rPr>
                              <w:t>科技部办公厅，中共福建省委宣传部，福建省科学技术</w:t>
                            </w:r>
                          </w:p>
                          <w:p>
                            <w:pPr>
                              <w:spacing w:line="560" w:lineRule="exact"/>
                              <w:ind w:firstLine="1280" w:firstLineChars="400"/>
                              <w:rPr>
                                <w:rFonts w:hint="eastAsia" w:ascii="仿宋_GB2312"/>
                              </w:rPr>
                            </w:pPr>
                            <w:r>
                              <w:rPr>
                                <w:rFonts w:hint="eastAsia" w:ascii="仿宋_GB2312"/>
                                <w:lang w:eastAsia="zh-CN"/>
                              </w:rPr>
                              <w:t>协会</w:t>
                            </w:r>
                            <w:bookmarkEnd w:id="5"/>
                          </w:p>
                          <w:p>
                            <w:pPr>
                              <w:spacing w:line="560" w:lineRule="exact"/>
                              <w:rPr>
                                <w:rFonts w:hint="eastAsia" w:ascii="仿宋_GB2312"/>
                              </w:rPr>
                            </w:pPr>
                          </w:p>
                          <w:p>
                            <w:pPr>
                              <w:spacing w:line="560" w:lineRule="exact"/>
                              <w:rPr>
                                <w:rFonts w:hint="eastAsia" w:ascii="仿宋_GB2312"/>
                              </w:rPr>
                            </w:pPr>
                          </w:p>
                          <w:p>
                            <w:pPr>
                              <w:spacing w:line="560" w:lineRule="exact"/>
                              <w:rPr>
                                <w:rFonts w:hint="eastAsia" w:ascii="仿宋_GB2312"/>
                              </w:rPr>
                            </w:pPr>
                          </w:p>
                          <w:p>
                            <w:pPr>
                              <w:spacing w:line="560" w:lineRule="exact"/>
                              <w:rPr>
                                <w:rFonts w:hint="eastAsia" w:ascii="仿宋_GB2312"/>
                              </w:rPr>
                            </w:pPr>
                          </w:p>
                          <w:p>
                            <w:pPr>
                              <w:spacing w:line="560" w:lineRule="exact"/>
                              <w:rPr>
                                <w:rFonts w:hint="eastAsia" w:ascii="仿宋_GB2312"/>
                              </w:rPr>
                            </w:pPr>
                          </w:p>
                          <w:p>
                            <w:pPr>
                              <w:spacing w:line="560" w:lineRule="exact"/>
                              <w:rPr>
                                <w:rFonts w:hint="eastAsia" w:ascii="仿宋_GB2312"/>
                              </w:rPr>
                            </w:pPr>
                          </w:p>
                          <w:p>
                            <w:pPr>
                              <w:spacing w:line="560" w:lineRule="exact"/>
                              <w:rPr>
                                <w:rFonts w:hint="eastAsia" w:ascii="仿宋_GB2312"/>
                              </w:rPr>
                            </w:pPr>
                          </w:p>
                          <w:p>
                            <w:pPr>
                              <w:spacing w:line="560" w:lineRule="exact"/>
                              <w:rPr>
                                <w:rFonts w:hint="eastAsia" w:ascii="仿宋_GB2312"/>
                              </w:rPr>
                            </w:pPr>
                          </w:p>
                        </w:txbxContent>
                      </wps:txbx>
                      <wps:bodyPr lIns="0" tIns="0" rIns="0" bIns="0" upright="1"/>
                    </wps:wsp>
                  </a:graphicData>
                </a:graphic>
              </wp:anchor>
            </w:drawing>
          </mc:Choice>
          <mc:Fallback>
            <w:pict>
              <v:shape id="_x0000_s1026" o:spid="_x0000_s1026" o:spt="202" type="#_x0000_t202" style="position:absolute;left:0pt;margin-left:0.05pt;margin-top:653.75pt;height:59.75pt;width:442.35pt;mso-position-horizontal-relative:margin;mso-position-vertical-relative:page;mso-wrap-distance-bottom:0pt;mso-wrap-distance-top:0pt;z-index:251664384;mso-width-relative:page;mso-height-relative:page;" filled="f" stroked="f" coordsize="21600,21600" o:gfxdata="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lSQt+2QAAAAoBAAAPAAAAAAAAAAEAIAAAACIAAABkcnMvZG93bnJldi54bWxQSwEC&#10;FAAUAAAACACHTuJAsResfroBAAByAwAADgAAAAAAAAABACAAAAAoAQAAZHJzL2Uyb0RvYy54bWxQ&#10;SwUGAAAAAAYABgBZAQAAVAUAAAAA&#10;">
                <v:fill on="f" focussize="0,0"/>
                <v:stroke on="f"/>
                <v:imagedata o:title=""/>
                <o:lock v:ext="edit" aspectratio="f"/>
                <v:textbox inset="0mm,0mm,0mm,0mm">
                  <w:txbxContent>
                    <w:p>
                      <w:pPr>
                        <w:spacing w:line="560" w:lineRule="exact"/>
                        <w:rPr>
                          <w:rFonts w:hint="eastAsia" w:ascii="仿宋_GB2312"/>
                          <w:lang w:eastAsia="zh-CN"/>
                        </w:rPr>
                      </w:pPr>
                      <w:r>
                        <w:rPr>
                          <w:rFonts w:hint="eastAsia" w:ascii="仿宋_GB2312"/>
                        </w:rPr>
                        <w:t xml:space="preserve">  抄送：</w:t>
                      </w:r>
                      <w:bookmarkStart w:id="5" w:name="copydelivery"/>
                      <w:r>
                        <w:rPr>
                          <w:rFonts w:hint="eastAsia" w:ascii="仿宋_GB2312"/>
                          <w:lang w:eastAsia="zh-CN"/>
                        </w:rPr>
                        <w:t>科技部办公厅，中共福建省委宣传部，福建省科学技术</w:t>
                      </w:r>
                    </w:p>
                    <w:p>
                      <w:pPr>
                        <w:spacing w:line="560" w:lineRule="exact"/>
                        <w:ind w:firstLine="1280" w:firstLineChars="400"/>
                        <w:rPr>
                          <w:rFonts w:hint="eastAsia" w:ascii="仿宋_GB2312"/>
                        </w:rPr>
                      </w:pPr>
                      <w:r>
                        <w:rPr>
                          <w:rFonts w:hint="eastAsia" w:ascii="仿宋_GB2312"/>
                          <w:lang w:eastAsia="zh-CN"/>
                        </w:rPr>
                        <w:t>协会</w:t>
                      </w:r>
                      <w:bookmarkEnd w:id="5"/>
                    </w:p>
                    <w:p>
                      <w:pPr>
                        <w:spacing w:line="560" w:lineRule="exact"/>
                        <w:rPr>
                          <w:rFonts w:hint="eastAsia" w:ascii="仿宋_GB2312"/>
                        </w:rPr>
                      </w:pPr>
                    </w:p>
                    <w:p>
                      <w:pPr>
                        <w:spacing w:line="560" w:lineRule="exact"/>
                        <w:rPr>
                          <w:rFonts w:hint="eastAsia" w:ascii="仿宋_GB2312"/>
                        </w:rPr>
                      </w:pPr>
                    </w:p>
                    <w:p>
                      <w:pPr>
                        <w:spacing w:line="560" w:lineRule="exact"/>
                        <w:rPr>
                          <w:rFonts w:hint="eastAsia" w:ascii="仿宋_GB2312"/>
                        </w:rPr>
                      </w:pPr>
                    </w:p>
                    <w:p>
                      <w:pPr>
                        <w:spacing w:line="560" w:lineRule="exact"/>
                        <w:rPr>
                          <w:rFonts w:hint="eastAsia" w:ascii="仿宋_GB2312"/>
                        </w:rPr>
                      </w:pPr>
                    </w:p>
                    <w:p>
                      <w:pPr>
                        <w:spacing w:line="560" w:lineRule="exact"/>
                        <w:rPr>
                          <w:rFonts w:hint="eastAsia" w:ascii="仿宋_GB2312"/>
                        </w:rPr>
                      </w:pPr>
                    </w:p>
                    <w:p>
                      <w:pPr>
                        <w:spacing w:line="560" w:lineRule="exact"/>
                        <w:rPr>
                          <w:rFonts w:hint="eastAsia" w:ascii="仿宋_GB2312"/>
                        </w:rPr>
                      </w:pPr>
                    </w:p>
                    <w:p>
                      <w:pPr>
                        <w:spacing w:line="560" w:lineRule="exact"/>
                        <w:rPr>
                          <w:rFonts w:hint="eastAsia" w:ascii="仿宋_GB2312"/>
                        </w:rPr>
                      </w:pPr>
                    </w:p>
                    <w:p>
                      <w:pPr>
                        <w:spacing w:line="560" w:lineRule="exact"/>
                        <w:rPr>
                          <w:rFonts w:hint="eastAsia" w:ascii="仿宋_GB2312"/>
                        </w:rPr>
                      </w:pPr>
                    </w:p>
                  </w:txbxContent>
                </v:textbox>
                <w10:wrap type="topAndBottom"/>
              </v:shap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-7620</wp:posOffset>
                </wp:positionH>
                <wp:positionV relativeFrom="page">
                  <wp:posOffset>8302625</wp:posOffset>
                </wp:positionV>
                <wp:extent cx="5617845" cy="0"/>
                <wp:effectExtent l="0" t="0" r="0" b="0"/>
                <wp:wrapTopAndBottom/>
                <wp:docPr id="7" name="直接连接符 7"/>
                <wp:cNvGraphicFramePr/>
                <a:graphic xmlns:a="http://schemas.openxmlformats.org/drawingml/2006/main">
                  <a:graphicData uri="http://schemas.microsoft.com/office/word/2010/wordprocessingShape">
                    <wps:wsp>
                      <wps:cNvCnPr/>
                      <wps:spPr>
                        <a:xfrm>
                          <a:off x="0" y="0"/>
                          <a:ext cx="561784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6pt;margin-top:653.75pt;height:0pt;width:442.35pt;mso-position-vertical-relative:page;mso-wrap-distance-bottom:0pt;mso-wrap-distance-top:0pt;z-index:251663360;mso-width-relative:page;mso-height-relative:page;" filled="f" stroked="t" coordsize="21600,21600" o:gfxdata="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HTwsJ2QAAAAwBAAAPAAAAAAAAAAEAIAAAACIAAABkcnMvZG93bnJldi54bWxQ&#10;SwECFAAUAAAACACHTuJAt0dtSvYBAADlAwAADgAAAAAAAAABACAAAAAoAQAAZHJzL2Uyb0RvYy54&#10;bWxQSwUGAAAAAAYABgBZAQAAkAUAAAAA&#10;">
                <v:fill on="f" focussize="0,0"/>
                <v:stroke weight="1.25pt" color="#000000" joinstyle="round"/>
                <v:imagedata o:title=""/>
                <o:lock v:ext="edit" aspectratio="f"/>
                <w10:wrap type="topAndBottom"/>
              </v:line>
            </w:pict>
          </mc:Fallback>
        </mc:AlternateContent>
      </w:r>
      <w:bookmarkEnd w:id="2"/>
    </w:p>
    <w:p>
      <w:pPr>
        <w:rPr>
          <w:rFonts w:ascii="Times New Roman" w:hAnsi="Times New Roman" w:eastAsia="仿宋_GB2312" w:cs="Times New Roman"/>
          <w:kern w:val="2"/>
          <w:sz w:val="32"/>
          <w:szCs w:val="24"/>
          <w:lang w:val="en-US" w:eastAsia="zh-CN" w:bidi="ar-SA"/>
        </w:rPr>
      </w:pPr>
    </w:p>
    <w:p>
      <w:pPr>
        <w:rPr>
          <w:lang w:val="en-US" w:eastAsia="zh-CN"/>
        </w:rPr>
      </w:pPr>
    </w:p>
    <w:p>
      <w:pPr>
        <w:rPr>
          <w:lang w:val="en-US" w:eastAsia="zh-CN"/>
        </w:rPr>
      </w:pPr>
    </w:p>
    <w:p>
      <w:pPr>
        <w:spacing w:beforeLines="0" w:line="540" w:lineRule="exact"/>
        <w:ind w:firstLine="320" w:firstLineChars="100"/>
        <w:rPr>
          <w:rFonts w:hint="eastAsia" w:eastAsia="仿宋_GB2312"/>
          <w:lang w:val="en-US" w:eastAsia="zh-CN"/>
        </w:rPr>
      </w:pPr>
      <w:r>
        <w:rPr>
          <w:rFonts w:hint="eastAsia"/>
          <w:lang w:val="en-US" w:eastAsia="zh-CN"/>
        </w:rPr>
        <w:t xml:space="preserve">福建省科学技术厅办公室        </w:t>
      </w:r>
      <w:r>
        <w:rPr>
          <w:rFonts w:hint="eastAsia" w:ascii="仿宋_GB2312" w:hAnsi="仿宋" w:eastAsia="仿宋_GB2312"/>
          <w:sz w:val="32"/>
          <w:szCs w:val="32"/>
        </w:rPr>
        <w:t xml:space="preserve"> 2021年4月</w:t>
      </w:r>
      <w:r>
        <w:rPr>
          <w:rFonts w:hint="eastAsia" w:ascii="仿宋_GB2312" w:hAnsi="仿宋" w:eastAsia="仿宋_GB2312"/>
          <w:sz w:val="32"/>
          <w:szCs w:val="32"/>
          <w:lang w:val="en-US" w:eastAsia="zh-CN"/>
        </w:rPr>
        <w:t>22</w:t>
      </w:r>
      <w:r>
        <w:rPr>
          <w:rFonts w:hint="eastAsia" w:ascii="仿宋_GB2312" w:hAnsi="仿宋" w:eastAsia="仿宋_GB2312"/>
          <w:sz w:val="32"/>
          <w:szCs w:val="32"/>
        </w:rPr>
        <w:t>日</w:t>
      </w:r>
      <w:r>
        <w:rPr>
          <w:rFonts w:hint="eastAsia" w:ascii="仿宋_GB2312" w:hAnsi="仿宋"/>
          <w:sz w:val="32"/>
          <w:szCs w:val="32"/>
          <w:lang w:eastAsia="zh-CN"/>
        </w:rPr>
        <w:t>印发</w:t>
      </w:r>
    </w:p>
    <w:sectPr>
      <w:headerReference r:id="rId5" w:type="first"/>
      <w:headerReference r:id="rId3" w:type="default"/>
      <w:footerReference r:id="rId6" w:type="default"/>
      <w:headerReference r:id="rId4" w:type="even"/>
      <w:footerReference r:id="rId7" w:type="even"/>
      <w:pgSz w:w="11906" w:h="16838"/>
      <w:pgMar w:top="2098" w:right="1531" w:bottom="1531" w:left="1531" w:header="851" w:footer="1418" w:gutter="0"/>
      <w:pgNumType w:fmt="numberInDash"/>
      <w:cols w:space="425" w:num="1"/>
      <w:titlePg/>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Batang">
    <w:panose1 w:val="02030600000101010101"/>
    <w:charset w:val="81"/>
    <w:family w:val="roman"/>
    <w:pitch w:val="default"/>
    <w:sig w:usb0="B00002AF" w:usb1="69D77CFB" w:usb2="00000030" w:usb3="00000000" w:csb0="4008009F" w:csb1="DFD70000"/>
  </w:font>
  <w:font w:name="方正小标宋_GBK">
    <w:altName w:val="Arial Unicode MS"/>
    <w:panose1 w:val="02000000000000000000"/>
    <w:charset w:val="86"/>
    <w:family w:val="auto"/>
    <w:pitch w:val="default"/>
    <w:sig w:usb0="00000000" w:usb1="00000000" w:usb2="00000000" w:usb3="00000000" w:csb0="00040000" w:csb1="00000000"/>
  </w:font>
  <w:font w:name="Dotum">
    <w:panose1 w:val="020B0600000101010101"/>
    <w:charset w:val="81"/>
    <w:family w:val="swiss"/>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00"/>
    <w:family w:val="modern"/>
    <w:pitch w:val="default"/>
    <w:sig w:usb0="00000000" w:usb1="00000000" w:usb2="00000010" w:usb3="00000000" w:csb0="00040000" w:csb1="00000000"/>
  </w:font>
  <w:font w:name="Malgun Gothic Semilight">
    <w:altName w:val="Malgun Gothic"/>
    <w:panose1 w:val="020B0502040204020203"/>
    <w:charset w:val="00"/>
    <w:family w:val="swiss"/>
    <w:pitch w:val="default"/>
    <w:sig w:usb0="00000000" w:usb1="00000000" w:usb2="00000012" w:usb3="00000000" w:csb0="203E01BD" w:csb1="D7FF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Malgun Gothic">
    <w:panose1 w:val="020B0503020000020004"/>
    <w:charset w:val="81"/>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rPr>
                              <w:rFonts w:hint="eastAsia" w:asciiTheme="majorEastAsia" w:hAnsiTheme="majorEastAsia" w:eastAsiaTheme="majorEastAsia" w:cstheme="majorEastAsia"/>
                              <w:sz w:val="28"/>
                              <w:szCs w:val="28"/>
                            </w:rPr>
                          </w:pPr>
                          <w:r>
                            <w:rPr>
                              <w:rStyle w:val="9"/>
                              <w:rFonts w:hint="eastAsia" w:asciiTheme="majorEastAsia" w:hAnsiTheme="majorEastAsia" w:eastAsiaTheme="majorEastAsia" w:cstheme="majorEastAsia"/>
                              <w:sz w:val="28"/>
                              <w:szCs w:val="28"/>
                            </w:rPr>
                            <w:fldChar w:fldCharType="begin"/>
                          </w:r>
                          <w:r>
                            <w:rPr>
                              <w:rStyle w:val="9"/>
                              <w:rFonts w:hint="eastAsia" w:asciiTheme="majorEastAsia" w:hAnsiTheme="majorEastAsia" w:eastAsiaTheme="majorEastAsia" w:cstheme="majorEastAsia"/>
                              <w:sz w:val="28"/>
                              <w:szCs w:val="28"/>
                            </w:rPr>
                            <w:instrText xml:space="preserve"> PAGE </w:instrText>
                          </w:r>
                          <w:r>
                            <w:rPr>
                              <w:rStyle w:val="9"/>
                              <w:rFonts w:hint="eastAsia" w:asciiTheme="majorEastAsia" w:hAnsiTheme="majorEastAsia" w:eastAsiaTheme="majorEastAsia" w:cstheme="majorEastAsia"/>
                              <w:sz w:val="28"/>
                              <w:szCs w:val="28"/>
                            </w:rPr>
                            <w:fldChar w:fldCharType="separate"/>
                          </w:r>
                          <w:r>
                            <w:rPr>
                              <w:rStyle w:val="9"/>
                              <w:rFonts w:hint="eastAsia" w:asciiTheme="majorEastAsia" w:hAnsiTheme="majorEastAsia" w:eastAsiaTheme="majorEastAsia" w:cstheme="majorEastAsia"/>
                              <w:sz w:val="28"/>
                              <w:szCs w:val="28"/>
                            </w:rPr>
                            <w:t>3</w:t>
                          </w:r>
                          <w:r>
                            <w:rPr>
                              <w:rStyle w:val="9"/>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5"/>
                      <w:jc w:val="center"/>
                      <w:rPr>
                        <w:rFonts w:hint="eastAsia" w:asciiTheme="majorEastAsia" w:hAnsiTheme="majorEastAsia" w:eastAsiaTheme="majorEastAsia" w:cstheme="majorEastAsia"/>
                        <w:sz w:val="28"/>
                        <w:szCs w:val="28"/>
                      </w:rPr>
                    </w:pPr>
                    <w:r>
                      <w:rPr>
                        <w:rStyle w:val="9"/>
                        <w:rFonts w:hint="eastAsia" w:asciiTheme="majorEastAsia" w:hAnsiTheme="majorEastAsia" w:eastAsiaTheme="majorEastAsia" w:cstheme="majorEastAsia"/>
                        <w:sz w:val="28"/>
                        <w:szCs w:val="28"/>
                      </w:rPr>
                      <w:fldChar w:fldCharType="begin"/>
                    </w:r>
                    <w:r>
                      <w:rPr>
                        <w:rStyle w:val="9"/>
                        <w:rFonts w:hint="eastAsia" w:asciiTheme="majorEastAsia" w:hAnsiTheme="majorEastAsia" w:eastAsiaTheme="majorEastAsia" w:cstheme="majorEastAsia"/>
                        <w:sz w:val="28"/>
                        <w:szCs w:val="28"/>
                      </w:rPr>
                      <w:instrText xml:space="preserve"> PAGE </w:instrText>
                    </w:r>
                    <w:r>
                      <w:rPr>
                        <w:rStyle w:val="9"/>
                        <w:rFonts w:hint="eastAsia" w:asciiTheme="majorEastAsia" w:hAnsiTheme="majorEastAsia" w:eastAsiaTheme="majorEastAsia" w:cstheme="majorEastAsia"/>
                        <w:sz w:val="28"/>
                        <w:szCs w:val="28"/>
                      </w:rPr>
                      <w:fldChar w:fldCharType="separate"/>
                    </w:r>
                    <w:r>
                      <w:rPr>
                        <w:rStyle w:val="9"/>
                        <w:rFonts w:hint="eastAsia" w:asciiTheme="majorEastAsia" w:hAnsiTheme="majorEastAsia" w:eastAsiaTheme="majorEastAsia" w:cstheme="majorEastAsia"/>
                        <w:sz w:val="28"/>
                        <w:szCs w:val="28"/>
                      </w:rPr>
                      <w:t>3</w:t>
                    </w:r>
                    <w:r>
                      <w:rPr>
                        <w:rStyle w:val="9"/>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sz w:val="28"/>
      </w:rPr>
    </w:pPr>
    <w:r>
      <w:rPr>
        <w:rStyle w:val="9"/>
        <w:sz w:val="28"/>
      </w:rPr>
      <w:fldChar w:fldCharType="begin"/>
    </w:r>
    <w:r>
      <w:rPr>
        <w:rStyle w:val="9"/>
        <w:sz w:val="28"/>
      </w:rPr>
      <w:instrText xml:space="preserve"> PAGE </w:instrText>
    </w:r>
    <w:r>
      <w:rPr>
        <w:rStyle w:val="9"/>
        <w:sz w:val="28"/>
      </w:rPr>
      <w:fldChar w:fldCharType="separate"/>
    </w:r>
    <w:r>
      <w:rPr>
        <w:rStyle w:val="9"/>
        <w:sz w:val="28"/>
      </w:rPr>
      <w:t>2</w:t>
    </w:r>
    <w:r>
      <w:rPr>
        <w:rStyle w:val="9"/>
        <w:sz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702567"/>
    <w:multiLevelType w:val="singleLevel"/>
    <w:tmpl w:val="60702567"/>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AF9"/>
    <w:rsid w:val="0000421D"/>
    <w:rsid w:val="00006DE2"/>
    <w:rsid w:val="00016011"/>
    <w:rsid w:val="000179CC"/>
    <w:rsid w:val="000222AA"/>
    <w:rsid w:val="0003234E"/>
    <w:rsid w:val="000525AC"/>
    <w:rsid w:val="00064A46"/>
    <w:rsid w:val="0007095C"/>
    <w:rsid w:val="00082452"/>
    <w:rsid w:val="0008359F"/>
    <w:rsid w:val="00092392"/>
    <w:rsid w:val="000D03F3"/>
    <w:rsid w:val="001102A4"/>
    <w:rsid w:val="001169EC"/>
    <w:rsid w:val="00125552"/>
    <w:rsid w:val="0016491F"/>
    <w:rsid w:val="00185F39"/>
    <w:rsid w:val="0019390C"/>
    <w:rsid w:val="001B37B9"/>
    <w:rsid w:val="001C03E6"/>
    <w:rsid w:val="001C0F5F"/>
    <w:rsid w:val="001D3159"/>
    <w:rsid w:val="001D4640"/>
    <w:rsid w:val="001F684B"/>
    <w:rsid w:val="00200CC2"/>
    <w:rsid w:val="00230BCE"/>
    <w:rsid w:val="00242EFC"/>
    <w:rsid w:val="00265E4F"/>
    <w:rsid w:val="002766D4"/>
    <w:rsid w:val="00293FD6"/>
    <w:rsid w:val="00295EDC"/>
    <w:rsid w:val="002A0825"/>
    <w:rsid w:val="002A45AB"/>
    <w:rsid w:val="002B13A0"/>
    <w:rsid w:val="002B2547"/>
    <w:rsid w:val="002E3071"/>
    <w:rsid w:val="002E7754"/>
    <w:rsid w:val="00310546"/>
    <w:rsid w:val="00321867"/>
    <w:rsid w:val="00325541"/>
    <w:rsid w:val="00360C58"/>
    <w:rsid w:val="00362316"/>
    <w:rsid w:val="00373B31"/>
    <w:rsid w:val="0038164F"/>
    <w:rsid w:val="0039737C"/>
    <w:rsid w:val="003B6A97"/>
    <w:rsid w:val="003E35C4"/>
    <w:rsid w:val="003F18FE"/>
    <w:rsid w:val="00403297"/>
    <w:rsid w:val="0040582F"/>
    <w:rsid w:val="0048239C"/>
    <w:rsid w:val="004A5ED7"/>
    <w:rsid w:val="004B472D"/>
    <w:rsid w:val="004B6E3F"/>
    <w:rsid w:val="004C51F3"/>
    <w:rsid w:val="004D0249"/>
    <w:rsid w:val="004D0659"/>
    <w:rsid w:val="004E310F"/>
    <w:rsid w:val="004E3A7F"/>
    <w:rsid w:val="00524397"/>
    <w:rsid w:val="00533BFD"/>
    <w:rsid w:val="0053736B"/>
    <w:rsid w:val="0054366C"/>
    <w:rsid w:val="00544384"/>
    <w:rsid w:val="005622AB"/>
    <w:rsid w:val="00575637"/>
    <w:rsid w:val="0059096B"/>
    <w:rsid w:val="005A119A"/>
    <w:rsid w:val="005A3558"/>
    <w:rsid w:val="005C75FA"/>
    <w:rsid w:val="005C7E3F"/>
    <w:rsid w:val="005D1B8A"/>
    <w:rsid w:val="005E26A5"/>
    <w:rsid w:val="00613323"/>
    <w:rsid w:val="00617AEB"/>
    <w:rsid w:val="006241FB"/>
    <w:rsid w:val="00625DAF"/>
    <w:rsid w:val="00630CA1"/>
    <w:rsid w:val="006344D8"/>
    <w:rsid w:val="00653967"/>
    <w:rsid w:val="00654B3C"/>
    <w:rsid w:val="00657339"/>
    <w:rsid w:val="00683692"/>
    <w:rsid w:val="006921D0"/>
    <w:rsid w:val="00694C46"/>
    <w:rsid w:val="006D6AA4"/>
    <w:rsid w:val="006E0106"/>
    <w:rsid w:val="006E6C4A"/>
    <w:rsid w:val="00770919"/>
    <w:rsid w:val="0078495C"/>
    <w:rsid w:val="00796A06"/>
    <w:rsid w:val="007A133C"/>
    <w:rsid w:val="007B2C2C"/>
    <w:rsid w:val="007C6192"/>
    <w:rsid w:val="007D3DEC"/>
    <w:rsid w:val="007F1AF9"/>
    <w:rsid w:val="00805249"/>
    <w:rsid w:val="00825AC0"/>
    <w:rsid w:val="00842156"/>
    <w:rsid w:val="00845432"/>
    <w:rsid w:val="00870163"/>
    <w:rsid w:val="0088037C"/>
    <w:rsid w:val="00893F87"/>
    <w:rsid w:val="008B566A"/>
    <w:rsid w:val="008D5061"/>
    <w:rsid w:val="008F34B1"/>
    <w:rsid w:val="00901387"/>
    <w:rsid w:val="009149AE"/>
    <w:rsid w:val="0093385D"/>
    <w:rsid w:val="0093763A"/>
    <w:rsid w:val="00957CA9"/>
    <w:rsid w:val="00957F30"/>
    <w:rsid w:val="00963815"/>
    <w:rsid w:val="00963B68"/>
    <w:rsid w:val="00964545"/>
    <w:rsid w:val="00971257"/>
    <w:rsid w:val="00987CBC"/>
    <w:rsid w:val="009903AB"/>
    <w:rsid w:val="009E7621"/>
    <w:rsid w:val="009F6D9D"/>
    <w:rsid w:val="00A027FE"/>
    <w:rsid w:val="00A0350C"/>
    <w:rsid w:val="00A04751"/>
    <w:rsid w:val="00A11475"/>
    <w:rsid w:val="00A4614B"/>
    <w:rsid w:val="00A6014F"/>
    <w:rsid w:val="00A65268"/>
    <w:rsid w:val="00A75170"/>
    <w:rsid w:val="00AB3A17"/>
    <w:rsid w:val="00AB47A3"/>
    <w:rsid w:val="00AC546E"/>
    <w:rsid w:val="00AD0507"/>
    <w:rsid w:val="00AD1D34"/>
    <w:rsid w:val="00AD4760"/>
    <w:rsid w:val="00AE2CFB"/>
    <w:rsid w:val="00AE3C64"/>
    <w:rsid w:val="00AF0929"/>
    <w:rsid w:val="00AF3BA2"/>
    <w:rsid w:val="00AF4825"/>
    <w:rsid w:val="00B02C2C"/>
    <w:rsid w:val="00B246A1"/>
    <w:rsid w:val="00B2496D"/>
    <w:rsid w:val="00B26DA8"/>
    <w:rsid w:val="00B34FA3"/>
    <w:rsid w:val="00B52848"/>
    <w:rsid w:val="00B544A8"/>
    <w:rsid w:val="00B720A7"/>
    <w:rsid w:val="00B94A87"/>
    <w:rsid w:val="00BA27A0"/>
    <w:rsid w:val="00BA2BCE"/>
    <w:rsid w:val="00BB1906"/>
    <w:rsid w:val="00BB69FD"/>
    <w:rsid w:val="00BC135C"/>
    <w:rsid w:val="00BF0273"/>
    <w:rsid w:val="00BF7800"/>
    <w:rsid w:val="00C01E39"/>
    <w:rsid w:val="00C25FC2"/>
    <w:rsid w:val="00C276CD"/>
    <w:rsid w:val="00C43C5F"/>
    <w:rsid w:val="00C53317"/>
    <w:rsid w:val="00C6611F"/>
    <w:rsid w:val="00C7131C"/>
    <w:rsid w:val="00C73692"/>
    <w:rsid w:val="00C84051"/>
    <w:rsid w:val="00C85562"/>
    <w:rsid w:val="00C959A0"/>
    <w:rsid w:val="00C979E3"/>
    <w:rsid w:val="00CB00EF"/>
    <w:rsid w:val="00CC31BD"/>
    <w:rsid w:val="00CD3AB0"/>
    <w:rsid w:val="00CF2974"/>
    <w:rsid w:val="00D04E53"/>
    <w:rsid w:val="00D05F0C"/>
    <w:rsid w:val="00D065CF"/>
    <w:rsid w:val="00D13C43"/>
    <w:rsid w:val="00D1429C"/>
    <w:rsid w:val="00D36A02"/>
    <w:rsid w:val="00D56FC2"/>
    <w:rsid w:val="00D81905"/>
    <w:rsid w:val="00D86558"/>
    <w:rsid w:val="00D92D9A"/>
    <w:rsid w:val="00DA13AF"/>
    <w:rsid w:val="00DA7640"/>
    <w:rsid w:val="00DC4CFD"/>
    <w:rsid w:val="00DE5E38"/>
    <w:rsid w:val="00E20D5C"/>
    <w:rsid w:val="00E25166"/>
    <w:rsid w:val="00E37869"/>
    <w:rsid w:val="00E42658"/>
    <w:rsid w:val="00E44E2D"/>
    <w:rsid w:val="00E45CE5"/>
    <w:rsid w:val="00E45DF8"/>
    <w:rsid w:val="00E46470"/>
    <w:rsid w:val="00E501AF"/>
    <w:rsid w:val="00E61A4E"/>
    <w:rsid w:val="00E64DD2"/>
    <w:rsid w:val="00E729E4"/>
    <w:rsid w:val="00E73AC7"/>
    <w:rsid w:val="00E9010A"/>
    <w:rsid w:val="00E91E00"/>
    <w:rsid w:val="00E977DB"/>
    <w:rsid w:val="00EB7F38"/>
    <w:rsid w:val="00EC505B"/>
    <w:rsid w:val="00ED23E8"/>
    <w:rsid w:val="00ED3A25"/>
    <w:rsid w:val="00ED3DC3"/>
    <w:rsid w:val="00EE4F77"/>
    <w:rsid w:val="00F005FF"/>
    <w:rsid w:val="00F069EA"/>
    <w:rsid w:val="00F1129D"/>
    <w:rsid w:val="00F2062E"/>
    <w:rsid w:val="00F374A0"/>
    <w:rsid w:val="00F55940"/>
    <w:rsid w:val="00F72F8A"/>
    <w:rsid w:val="00F83D3C"/>
    <w:rsid w:val="00F95009"/>
    <w:rsid w:val="00F977C2"/>
    <w:rsid w:val="00FB48E8"/>
    <w:rsid w:val="00FC4E11"/>
    <w:rsid w:val="00FC555D"/>
    <w:rsid w:val="022161F1"/>
    <w:rsid w:val="03081830"/>
    <w:rsid w:val="073A426F"/>
    <w:rsid w:val="08031943"/>
    <w:rsid w:val="0CB21492"/>
    <w:rsid w:val="0DA10D87"/>
    <w:rsid w:val="11273355"/>
    <w:rsid w:val="11FD76E5"/>
    <w:rsid w:val="16121EA6"/>
    <w:rsid w:val="19851B90"/>
    <w:rsid w:val="1CF860BF"/>
    <w:rsid w:val="1E31185C"/>
    <w:rsid w:val="1EA97A40"/>
    <w:rsid w:val="2097778A"/>
    <w:rsid w:val="231D22B9"/>
    <w:rsid w:val="268522F2"/>
    <w:rsid w:val="274C41EB"/>
    <w:rsid w:val="28882F7F"/>
    <w:rsid w:val="2ABB1C33"/>
    <w:rsid w:val="2F473035"/>
    <w:rsid w:val="31211392"/>
    <w:rsid w:val="32024BA3"/>
    <w:rsid w:val="32FED5CB"/>
    <w:rsid w:val="36302204"/>
    <w:rsid w:val="37B20166"/>
    <w:rsid w:val="37F743EE"/>
    <w:rsid w:val="384B789B"/>
    <w:rsid w:val="38633F5F"/>
    <w:rsid w:val="388E6C80"/>
    <w:rsid w:val="398672F8"/>
    <w:rsid w:val="3E843220"/>
    <w:rsid w:val="410E430F"/>
    <w:rsid w:val="42293438"/>
    <w:rsid w:val="473E17BE"/>
    <w:rsid w:val="47882912"/>
    <w:rsid w:val="48676643"/>
    <w:rsid w:val="4C3E358B"/>
    <w:rsid w:val="4DBA09C2"/>
    <w:rsid w:val="4DBA4EA0"/>
    <w:rsid w:val="4EBE2689"/>
    <w:rsid w:val="4EF10D46"/>
    <w:rsid w:val="51704320"/>
    <w:rsid w:val="546509FD"/>
    <w:rsid w:val="568A3E98"/>
    <w:rsid w:val="571A0A83"/>
    <w:rsid w:val="57345EAE"/>
    <w:rsid w:val="57F87A70"/>
    <w:rsid w:val="5893060E"/>
    <w:rsid w:val="58AD6188"/>
    <w:rsid w:val="5FC96E5C"/>
    <w:rsid w:val="5FE2CADF"/>
    <w:rsid w:val="62147C24"/>
    <w:rsid w:val="62EA0FA9"/>
    <w:rsid w:val="65C958D3"/>
    <w:rsid w:val="6BB46FA5"/>
    <w:rsid w:val="6E09583A"/>
    <w:rsid w:val="6FF12374"/>
    <w:rsid w:val="72AB29CD"/>
    <w:rsid w:val="74EC1641"/>
    <w:rsid w:val="75ED7805"/>
    <w:rsid w:val="76026F9F"/>
    <w:rsid w:val="777D47CF"/>
    <w:rsid w:val="79361767"/>
    <w:rsid w:val="796671E3"/>
    <w:rsid w:val="7BF577D7"/>
    <w:rsid w:val="7C414146"/>
    <w:rsid w:val="7C7A2F3E"/>
    <w:rsid w:val="7CE56760"/>
    <w:rsid w:val="7EF62ECD"/>
    <w:rsid w:val="7F924566"/>
    <w:rsid w:val="BFBD4D5A"/>
    <w:rsid w:val="CFA20FD5"/>
    <w:rsid w:val="EF3B50F6"/>
    <w:rsid w:val="FFFE0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Date"/>
    <w:basedOn w:val="1"/>
    <w:next w:val="1"/>
    <w:qFormat/>
    <w:uiPriority w:val="0"/>
    <w:rPr>
      <w:rFonts w:ascii="仿宋_GB2312"/>
    </w:rPr>
  </w:style>
  <w:style w:type="paragraph" w:styleId="4">
    <w:name w:val="Balloon Text"/>
    <w:basedOn w:val="1"/>
    <w:semiHidden/>
    <w:qFormat/>
    <w:uiPriority w:val="0"/>
    <w:rPr>
      <w:rFonts w:eastAsia="宋体"/>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qFormat/>
    <w:uiPriority w:val="0"/>
    <w:rPr>
      <w:rFonts w:ascii="Times New Roman" w:hAnsi="Times New Roman" w:eastAsia="宋体" w:cs="Times New Roman"/>
      <w:color w:val="0000FF"/>
      <w:u w:val="single"/>
    </w:rPr>
  </w:style>
  <w:style w:type="character" w:customStyle="1" w:styleId="11">
    <w:name w:val="pub_time"/>
    <w:basedOn w:val="8"/>
    <w:qFormat/>
    <w:uiPriority w:val="0"/>
    <w:rPr>
      <w:rFonts w:ascii="Times New Roman" w:hAnsi="Times New Roman" w:eastAsia="宋体" w:cs="Times New Roman"/>
    </w:rPr>
  </w:style>
  <w:style w:type="character" w:customStyle="1" w:styleId="12">
    <w:name w:val="apple-converted-space"/>
    <w:basedOn w:val="8"/>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2020-12-23T15:17:00Z</dcterms:created>
  <dc:creator>福建省科技厅</dc:creator>
  <cp:lastModifiedBy>xxjs</cp:lastModifiedBy>
  <cp:lastPrinted>2021-04-23T09:13:00Z</cp:lastPrinted>
  <dcterms:modified xsi:type="dcterms:W3CDTF">2021-05-06T09:15:15Z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CDEB5CDB425348DC9A36835A5101D3C4</vt:lpwstr>
  </property>
</Properties>
</file>