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ascii="方正小标宋简体" w:hAnsi="宋体" w:eastAsia="方正小标宋简体" w:cs="方正小标宋简体"/>
          <w:color w:val="FF0000"/>
          <w:spacing w:val="124"/>
          <w:sz w:val="74"/>
          <w:szCs w:val="74"/>
        </w:rPr>
      </w:pPr>
      <w:r>
        <w:rPr>
          <w:rFonts w:hint="eastAsia" w:ascii="方正小标宋简体" w:hAnsi="宋体" w:eastAsia="方正小标宋简体" w:cs="方正小标宋简体"/>
          <w:color w:val="FF0000"/>
          <w:spacing w:val="110"/>
          <w:sz w:val="74"/>
          <w:szCs w:val="74"/>
        </w:rPr>
        <w:t>中共福建省委宣传</w:t>
      </w:r>
      <w:r>
        <w:rPr>
          <w:rFonts w:hint="eastAsia" w:ascii="方正小标宋简体" w:hAnsi="宋体" w:eastAsia="方正小标宋简体" w:cs="方正小标宋简体"/>
          <w:color w:val="FF0000"/>
          <w:spacing w:val="124"/>
          <w:sz w:val="74"/>
          <w:szCs w:val="74"/>
        </w:rPr>
        <w:t>部</w:t>
      </w:r>
    </w:p>
    <w:p>
      <w:pPr>
        <w:spacing w:line="800" w:lineRule="exact"/>
      </w:pPr>
      <w:r>
        <w:rPr>
          <w:rFonts w:hint="eastAsia" w:ascii="方正小标宋简体" w:hAnsi="宋体" w:eastAsia="方正小标宋简体" w:cs="方正小标宋简体"/>
          <w:color w:val="FF0000"/>
          <w:spacing w:val="180"/>
          <w:sz w:val="74"/>
          <w:szCs w:val="74"/>
        </w:rPr>
        <w:t>福建省科学技术</w:t>
      </w:r>
      <w:r>
        <w:rPr>
          <w:rFonts w:hint="eastAsia" w:ascii="方正小标宋简体" w:hAnsi="宋体" w:eastAsia="方正小标宋简体" w:cs="方正小标宋简体"/>
          <w:color w:val="FF0000"/>
          <w:sz w:val="74"/>
          <w:szCs w:val="74"/>
        </w:rPr>
        <w:t>厅</w:t>
      </w:r>
    </w:p>
    <w:p>
      <w:pPr>
        <w:spacing w:line="800" w:lineRule="exact"/>
        <w:rPr>
          <w:rFonts w:ascii="方正小标宋简体" w:hAnsi="宋体" w:eastAsia="方正小标宋简体"/>
          <w:color w:val="FF0000"/>
          <w:spacing w:val="124"/>
          <w:sz w:val="74"/>
          <w:szCs w:val="74"/>
        </w:rPr>
      </w:pPr>
      <w:r>
        <w:rPr>
          <w:rFonts w:hint="eastAsia" w:ascii="方正小标宋简体" w:hAnsi="宋体" w:eastAsia="方正小标宋简体" w:cs="方正小标宋简体"/>
          <w:color w:val="FF0000"/>
          <w:spacing w:val="110"/>
          <w:sz w:val="74"/>
          <w:szCs w:val="74"/>
        </w:rPr>
        <w:t>福建省科学技术协</w:t>
      </w:r>
      <w:r>
        <w:rPr>
          <w:rFonts w:hint="eastAsia" w:ascii="方正小标宋简体" w:hAnsi="宋体" w:eastAsia="方正小标宋简体" w:cs="方正小标宋简体"/>
          <w:color w:val="FF0000"/>
          <w:spacing w:val="124"/>
          <w:sz w:val="74"/>
          <w:szCs w:val="74"/>
        </w:rPr>
        <w:t>会</w:t>
      </w: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6120130" cy="0"/>
                <wp:effectExtent l="0" t="28575" r="13970" b="28575"/>
                <wp:wrapNone/>
                <wp:docPr id="1" name="DocMark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DocMarkLine" o:spid="_x0000_s1026" o:spt="20" style="position:absolute;left:0pt;margin-left:-18pt;margin-top:13.2pt;height:0pt;width:481.9pt;z-index:251659264;mso-width-relative:page;mso-height-relative:page;" filled="f" stroked="t" coordsize="21600,21600" o:gfxdata="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blF7NUAAAAJAQAA&#10;DwAAAAAAAAABACAAAAAiAAAAZHJzL2Rvd25yZXYueG1sUEsBAhQAFAAAAAgAh07iQGP2xxPjAQAA&#10;5QMAAA4AAAAAAAAAAQAgAAAAJAEAAGRycy9lMm9Eb2MueG1sUEsFBgAAAAAGAAYAWQEAAHkFAAAA&#10;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fldChar w:fldCharType="begin"/>
      </w:r>
      <w:r>
        <w:rPr>
          <w:rFonts w:ascii="仿宋_GB2312" w:hAnsi="仿宋" w:eastAsia="仿宋_GB2312" w:cs="仿宋_GB2312"/>
          <w:sz w:val="32"/>
          <w:szCs w:val="32"/>
        </w:rPr>
        <w:instrText xml:space="preserve"> MERGEFIELD  </w:instrText>
      </w:r>
      <w:r>
        <w:rPr>
          <w:rFonts w:hint="eastAsia" w:ascii="仿宋_GB2312" w:hAnsi="仿宋" w:eastAsia="仿宋_GB2312" w:cs="仿宋_GB2312"/>
          <w:sz w:val="32"/>
          <w:szCs w:val="32"/>
        </w:rPr>
        <w:instrText xml:space="preserve">发文编号</w:instrText>
      </w:r>
      <w:r>
        <w:rPr>
          <w:rFonts w:ascii="仿宋_GB2312" w:hAnsi="仿宋" w:eastAsia="仿宋_GB2312" w:cs="仿宋_GB2312"/>
          <w:sz w:val="32"/>
          <w:szCs w:val="32"/>
        </w:rPr>
        <w:instrText xml:space="preserve"> </w:instrText>
      </w:r>
      <w:r>
        <w:rPr>
          <w:rFonts w:ascii="仿宋_GB2312" w:hAnsi="仿宋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_GB2312"/>
          <w:sz w:val="32"/>
          <w:szCs w:val="32"/>
        </w:rPr>
        <w:t>闽科才函〔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〕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" w:eastAsia="仿宋_GB2312" w:cs="仿宋_GB2312"/>
          <w:sz w:val="32"/>
          <w:szCs w:val="32"/>
        </w:rPr>
        <w:t>号</w:t>
      </w:r>
      <w:r>
        <w:rPr>
          <w:rFonts w:ascii="仿宋_GB2312" w:hAnsi="仿宋" w:eastAsia="仿宋_GB2312" w:cs="仿宋_GB2312"/>
          <w:sz w:val="32"/>
          <w:szCs w:val="32"/>
        </w:rPr>
        <w:fldChar w:fldCharType="end"/>
      </w:r>
    </w:p>
    <w:p/>
    <w:p>
      <w:pPr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中共福建省委宣传部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福建省科学技术厅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福建省科学技术协会关于公布</w:t>
      </w:r>
    </w:p>
    <w:p>
      <w:pPr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届科普讲解大赛</w:t>
      </w:r>
    </w:p>
    <w:p>
      <w:pPr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获奖名单的通知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600" w:lineRule="exact"/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各有关单位：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为深入贯彻实施创新驱动发展战略，积极传播科学思想，大力弘扬科学精神，全面普及科学知识，不断提升全民科学素质，进一步推进我省科普事业的进步发展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2025年6月20日，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福建省科学技术厅、中共福建省委宣传部和福建省科学技术协会联合举办福建省第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届科普讲解大赛。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现场打分、大屏幕亮分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现场公布结果，按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顺序确定获奖对象。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其中，福建省安溪县气象局邓舒予</w:t>
      </w:r>
      <w:r>
        <w:rPr>
          <w:rFonts w:hint="eastAsia" w:ascii="仿宋_GB2312" w:hAnsi="仿宋_GB2312" w:eastAsia="仿宋_GB2312" w:cs="仿宋_GB2312"/>
          <w:sz w:val="32"/>
          <w:szCs w:val="32"/>
        </w:rPr>
        <w:t>等6名选手获一等奖，三明学院方仪等9名选手获二等奖，福建艺术职业学院刘宇等12名选手获三等奖，宁德师范学院附属宁德市医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院姚佳镕等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名选手获优秀奖，福建省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厅等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家单位获优秀组织奖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现予以公布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名单见附件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福建省第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届科普讲解大赛获奖名单</w:t>
      </w:r>
    </w:p>
    <w:p>
      <w:pPr>
        <w:pStyle w:val="3"/>
        <w:spacing w:after="0" w:line="600" w:lineRule="exact"/>
        <w:ind w:left="0" w:leftChars="0" w:right="1470"/>
      </w:pPr>
    </w:p>
    <w:p>
      <w:pPr>
        <w:pStyle w:val="3"/>
        <w:spacing w:after="0" w:line="600" w:lineRule="exact"/>
        <w:ind w:left="0" w:leftChars="0" w:right="1470"/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spacing w:after="0" w:line="600" w:lineRule="exact"/>
        <w:ind w:left="0" w:leftChars="0" w:right="1470"/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  <w:t xml:space="preserve">中共福建省委宣传部          福建省科学技术厅    </w:t>
      </w:r>
    </w:p>
    <w:p>
      <w:pPr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color w:val="000000"/>
          <w:kern w:val="2"/>
          <w:sz w:val="32"/>
          <w:szCs w:val="32"/>
          <w:lang w:val="en-US" w:eastAsia="zh-CN" w:bidi="ar-SA"/>
        </w:rPr>
        <w:t xml:space="preserve">福建省科学技术协会      </w:t>
      </w:r>
    </w:p>
    <w:p>
      <w:pPr>
        <w:wordWrap w:val="0"/>
        <w:spacing w:line="600" w:lineRule="exact"/>
        <w:jc w:val="right"/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>
      <w:pPr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（此件主动公开）</w:t>
      </w:r>
    </w:p>
    <w:p>
      <w:pP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sectPr>
          <w:footerReference r:id="rId4" w:type="first"/>
          <w:footerReference r:id="rId3" w:type="default"/>
          <w:pgSz w:w="11906" w:h="16838"/>
          <w:pgMar w:top="2098" w:right="1531" w:bottom="1531" w:left="1531" w:header="851" w:footer="992" w:gutter="0"/>
          <w:pgNumType w:fmt="decimal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福建省第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US" w:eastAsia="zh-CN"/>
        </w:rPr>
        <w:t>九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届科普讲解大赛获奖名单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</w:pPr>
    </w:p>
    <w:tbl>
      <w:tblPr>
        <w:tblStyle w:val="6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340"/>
        <w:gridCol w:w="5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一等奖（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邓舒予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福建省安溪县气象局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许婷婷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福建省莆田高速公路行政执法支队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郇嘉兴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肖夏琳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杨华健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李文萱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二等奖（9名）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仪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连丽萍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李易家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陈鑫莹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福建广电网络集团有限公司莆田分公司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韩静文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林多多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牛素生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邱紫薇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福建省龙岩市气象局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三等奖（12名）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宇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何乔鹭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洁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福建省海洋预报台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林雪洁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中国人民解放军联勤保障部队第九〇〇医院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然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侯懿宁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福建省特种设备检验研究院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蔚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  嫱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福建省福州港口发展中心直属分中心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杜冰汝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泉州医学高等专科学校附属人民医院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建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陈敏洁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福州名城保护开发有限公司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卓辛格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福建中医药大学中医药传统文化研究中心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3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优秀奖（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姚佳镕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宁德师范学院附属宁德市医院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吴炜圣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福建省林业科学研究院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程哲兰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福建省水文水资源勘测中心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吴昔培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厦门诚毅科探运营管理有限公司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陈佳慧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厦门科技馆管理有限公司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婷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陈思宁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福建福港拖轮有限公司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妍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尹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  瑕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38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黄雪茹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漳州市城市展示馆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39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苏少杰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吴榕清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福州地铁集团有限公司运营事业部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陈致州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  超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中华人民共和国福州海关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娄佳钰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章海龙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45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马馨玉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46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吴璋鹤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平潭综合实验区农业农村局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吕婉莹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48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欢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福建省节能中心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49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孙旭飞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兰美玲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  竹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  芳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兰妍涵</w:t>
            </w:r>
          </w:p>
        </w:tc>
        <w:tc>
          <w:tcPr>
            <w:tcW w:w="5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福建省民政学校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优秀组织奖（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福建省水利厅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11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福建广电网络集团股份有限公司</w:t>
            </w:r>
          </w:p>
        </w:tc>
      </w:tr>
    </w:tbl>
    <w:p>
      <w:pPr>
        <w:pStyle w:val="2"/>
      </w:pPr>
    </w:p>
    <w:p/>
    <w:p/>
    <w:sectPr>
      <w:pgSz w:w="11906" w:h="16838"/>
      <w:pgMar w:top="2098" w:right="1531" w:bottom="1531" w:left="1531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Arial" w:hAnsi="Arial" w:eastAsia="宋体" w:cs="Arial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Arial" w:hAnsi="Arial" w:eastAsia="宋体" w:cs="Arial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8C7694"/>
    <w:rsid w:val="2AE136FA"/>
    <w:rsid w:val="32FE3905"/>
    <w:rsid w:val="3AE60965"/>
    <w:rsid w:val="3AF6752B"/>
    <w:rsid w:val="3B906762"/>
    <w:rsid w:val="5F566D5A"/>
    <w:rsid w:val="71BB2830"/>
    <w:rsid w:val="781D46DB"/>
    <w:rsid w:val="786A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iPriority w:val="0"/>
    <w:rPr>
      <w:sz w:val="18"/>
      <w:szCs w:val="18"/>
    </w:r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</cp:lastModifiedBy>
  <cp:lastPrinted>2025-08-07T00:47:46Z</cp:lastPrinted>
  <dcterms:modified xsi:type="dcterms:W3CDTF">2025-08-07T00:47:55Z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0D85E144EA954969A748E454B08C2BC0</vt:lpwstr>
  </property>
</Properties>
</file>