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/>
          <w:b/>
          <w:szCs w:val="32"/>
        </w:rPr>
      </w:pPr>
    </w:p>
    <w:p>
      <w:pPr>
        <w:pStyle w:val="2"/>
        <w:rPr>
          <w:rFonts w:hint="eastAsia"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ge">
                  <wp:posOffset>1555115</wp:posOffset>
                </wp:positionV>
                <wp:extent cx="5588000" cy="9588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spacing w:val="12"/>
                                <w:w w:val="66"/>
                                <w:kern w:val="15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hint="eastAsia" w:ascii="方正小标宋简体" w:hAnsi="Batang" w:eastAsia="方正小标宋简体" w:cs="Arial"/>
                                <w:b/>
                                <w:bCs/>
                                <w:color w:val="FF0000"/>
                                <w:spacing w:val="12"/>
                                <w:w w:val="66"/>
                                <w:kern w:val="15"/>
                                <w:sz w:val="108"/>
                                <w:szCs w:val="108"/>
                              </w:rPr>
                              <w:t xml:space="preserve">福建省科学技术厅文件       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7pt;margin-top:122.45pt;height:75.5pt;width:440pt;mso-position-vertical-relative:page;z-index:251662336;mso-width-relative:page;mso-height-relative:page;" filled="f" stroked="f" coordsize="21600,21600" o:gfxdata="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zRHpNgAAAAKAQAADwAAAAAAAAABACAAAAAiAAAAZHJzL2Rvd25yZXYueG1sUEsBAhQA&#10;FAAAAAgAh07iQKwwTNm5AQAAc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spacing w:val="12"/>
                          <w:w w:val="66"/>
                          <w:kern w:val="15"/>
                          <w:sz w:val="108"/>
                          <w:szCs w:val="108"/>
                        </w:rPr>
                      </w:pPr>
                      <w:r>
                        <w:rPr>
                          <w:rFonts w:hint="eastAsia" w:ascii="方正小标宋简体" w:hAnsi="Batang" w:eastAsia="方正小标宋简体" w:cs="Arial"/>
                          <w:b/>
                          <w:bCs/>
                          <w:color w:val="FF0000"/>
                          <w:spacing w:val="12"/>
                          <w:w w:val="66"/>
                          <w:kern w:val="15"/>
                          <w:sz w:val="108"/>
                          <w:szCs w:val="108"/>
                        </w:rPr>
                        <w:t xml:space="preserve">福建省科学技术厅文件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黑体" w:eastAsia="黑体"/>
          <w:b/>
          <w:szCs w:val="32"/>
        </w:rPr>
      </w:pPr>
    </w:p>
    <w:p>
      <w:pPr>
        <w:snapToGrid w:val="0"/>
        <w:spacing w:line="560" w:lineRule="exact"/>
        <w:ind w:right="160"/>
        <w:jc w:val="both"/>
        <w:rPr>
          <w:rFonts w:hint="eastAsia" w:ascii="黑体" w:eastAsia="黑体"/>
          <w:b/>
          <w:szCs w:val="32"/>
        </w:rPr>
      </w:pPr>
    </w:p>
    <w:p>
      <w:pPr>
        <w:snapToGrid w:val="0"/>
        <w:spacing w:line="560" w:lineRule="exact"/>
        <w:ind w:right="160"/>
        <w:jc w:val="right"/>
        <w:rPr>
          <w:rFonts w:hint="eastAsia" w:ascii="黑体" w:eastAsia="黑体"/>
          <w:b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314325</wp:posOffset>
                </wp:positionV>
                <wp:extent cx="2235200" cy="3822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/>
                                <w:bCs/>
                              </w:rPr>
                            </w:pPr>
                            <w:r>
                              <w:rPr>
                                <w:rFonts w:hint="eastAsia" w:ascii="仿宋_GB231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/>
                              </w:rPr>
                              <w:instrText xml:space="preserve"> MERGEFIELD  发文编号 </w:instrText>
                            </w:r>
                            <w:r>
                              <w:rPr>
                                <w:rFonts w:ascii="仿宋_GB2312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/>
                              </w:rPr>
                              <w:t>闽科成〔202</w:t>
                            </w:r>
                            <w:r>
                              <w:rPr>
                                <w:rFonts w:hint="eastAsia" w:ascii="仿宋_GB231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/>
                              </w:rPr>
                              <w:t>〕</w:t>
                            </w:r>
                            <w:r>
                              <w:rPr>
                                <w:rFonts w:hint="eastAsia" w:ascii="仿宋_GB231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/>
                              </w:rPr>
                              <w:t>号</w:t>
                            </w:r>
                            <w:r>
                              <w:rPr>
                                <w:rFonts w:hint="eastAsia" w:ascii="仿宋_GB2312"/>
                              </w:rPr>
                              <w:fldChar w:fldCharType="end"/>
                            </w:r>
                          </w:p>
                          <w:p/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24.75pt;height:30.1pt;width:176pt;z-index:251659264;mso-width-relative:page;mso-height-relative:page;" filled="f" stroked="f" coordsize="21600,21600" o:gfxdata="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cm7GdoAAAAKAQAADwAAAAAAAAABACAAAAAiAAAAZHJzL2Rvd25yZXYu&#10;eG1sUEsBAhQAFAAAAAgAh07iQHjfUGLAAQAAe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eastAsia" w:ascii="仿宋_GB2312" w:hAnsi="宋体"/>
                          <w:bCs/>
                        </w:rPr>
                      </w:pPr>
                      <w:r>
                        <w:rPr>
                          <w:rFonts w:hint="eastAsia" w:ascii="仿宋_GB2312"/>
                        </w:rPr>
                        <w:fldChar w:fldCharType="begin"/>
                      </w:r>
                      <w:r>
                        <w:rPr>
                          <w:rFonts w:hint="eastAsia" w:ascii="仿宋_GB2312"/>
                        </w:rPr>
                        <w:instrText xml:space="preserve"> MERGEFIELD  发文编号 </w:instrText>
                      </w:r>
                      <w:r>
                        <w:rPr>
                          <w:rFonts w:ascii="仿宋_GB2312"/>
                        </w:rPr>
                        <w:fldChar w:fldCharType="separate"/>
                      </w:r>
                      <w:r>
                        <w:rPr>
                          <w:rFonts w:hint="eastAsia" w:ascii="仿宋_GB2312"/>
                        </w:rPr>
                        <w:t>闽科成〔202</w:t>
                      </w:r>
                      <w:r>
                        <w:rPr>
                          <w:rFonts w:hint="eastAsia" w:ascii="仿宋_GB231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/>
                        </w:rPr>
                        <w:t>〕</w:t>
                      </w:r>
                      <w:r>
                        <w:rPr>
                          <w:rFonts w:hint="eastAsia" w:ascii="仿宋_GB231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/>
                        </w:rPr>
                        <w:t>号</w:t>
                      </w:r>
                      <w:r>
                        <w:rPr>
                          <w:rFonts w:hint="eastAsia" w:ascii="仿宋_GB2312"/>
                        </w:rPr>
                        <w:fldChar w:fldCharType="end"/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napToGrid w:val="0"/>
        <w:spacing w:line="600" w:lineRule="exact"/>
        <w:ind w:right="160"/>
        <w:jc w:val="right"/>
        <w:rPr>
          <w:rFonts w:hint="eastAsia" w:ascii="黑体" w:eastAsia="黑体"/>
          <w:b/>
          <w:szCs w:val="32"/>
        </w:rPr>
      </w:pPr>
    </w:p>
    <w:p>
      <w:pPr>
        <w:snapToGrid w:val="0"/>
        <w:spacing w:line="600" w:lineRule="exact"/>
        <w:ind w:right="160"/>
        <w:jc w:val="right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600700" cy="0"/>
                <wp:effectExtent l="0" t="15875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2.65pt;height:0pt;width:441pt;z-index:251658240;mso-width-relative:page;mso-height-relative:page;" filled="f" stroked="t" coordsize="21600,21600" o:gfxdata="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UroW1QAAAAYBAAAPAAAAAAAAAAEAIAAAACIAAABkcnMvZG93bnJldi54bWxQSwEC&#10;FAAUAAAACACHTuJAhHB8dfcBAADlAwAADgAAAAAAAAABACAAAAAkAQAAZHJzL2Uyb0RvYy54bWxQ&#10;SwUGAAAAAAYABgBZAQAAj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880" w:firstLineChars="200"/>
        <w:jc w:val="both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spacing w:line="600" w:lineRule="exact"/>
        <w:ind w:firstLine="880" w:firstLineChars="200"/>
        <w:jc w:val="both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instrText xml:space="preserve"> MERGEFIELD  文件标题 </w:instrTex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福建省科学技术厅关于公布20</w:t>
      </w:r>
      <w:r>
        <w:rPr>
          <w:rFonts w:hint="eastAsia" w:ascii="方正小标宋简体" w:hAnsi="宋体" w:eastAsia="方正小标宋简体"/>
          <w:b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年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全省技术市场交易情况的通知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fldChar w:fldCharType="end"/>
      </w:r>
    </w:p>
    <w:p/>
    <w:p>
      <w:pPr>
        <w:spacing w:line="600" w:lineRule="exact"/>
        <w:rPr>
          <w:rFonts w:hint="eastAsia" w:ascii="仿宋_GB2312" w:hAnsi="Dotum"/>
          <w:bCs/>
          <w:lang w:val="en-US" w:eastAsia="zh-CN"/>
        </w:rPr>
      </w:pPr>
      <w:bookmarkStart w:id="0" w:name="_GoBack"/>
      <w:r>
        <w:rPr>
          <w:rFonts w:hint="eastAsia" w:ascii="仿宋_GB2312" w:hAnsi="Dotum"/>
          <w:bCs/>
        </w:rPr>
        <w:fldChar w:fldCharType="begin"/>
      </w:r>
      <w:r>
        <w:rPr>
          <w:rFonts w:hint="eastAsia" w:ascii="仿宋_GB2312" w:hAnsi="Dotum"/>
          <w:bCs/>
        </w:rPr>
        <w:instrText xml:space="preserve"> MERGEFIELD 主送 </w:instrText>
      </w:r>
      <w:r>
        <w:rPr>
          <w:rFonts w:hint="eastAsia" w:ascii="仿宋_GB2312" w:hAnsi="Dotum"/>
          <w:bCs/>
        </w:rPr>
        <w:fldChar w:fldCharType="separate"/>
      </w:r>
      <w:r>
        <w:rPr>
          <w:rFonts w:hint="eastAsia" w:ascii="仿宋_GB2312" w:hAnsi="Dotum"/>
          <w:bCs/>
        </w:rPr>
        <w:t>各设区市科技局、平潭综合实验区</w:t>
      </w:r>
      <w:r>
        <w:rPr>
          <w:rFonts w:hint="eastAsia" w:ascii="仿宋_GB2312" w:hAnsi="Dotum"/>
          <w:bCs/>
          <w:lang w:eastAsia="zh-CN"/>
        </w:rPr>
        <w:t>经济发展</w:t>
      </w:r>
      <w:r>
        <w:rPr>
          <w:rFonts w:hint="eastAsia" w:ascii="仿宋_GB2312" w:hAnsi="Dotum"/>
          <w:bCs/>
        </w:rPr>
        <w:t>局，</w:t>
      </w:r>
      <w:r>
        <w:rPr>
          <w:rFonts w:hint="eastAsia" w:ascii="仿宋_GB2312" w:hAnsi="Dotum"/>
          <w:bCs/>
          <w:lang w:eastAsia="zh-CN"/>
        </w:rPr>
        <w:t>各</w:t>
      </w:r>
      <w:r>
        <w:rPr>
          <w:rFonts w:hint="eastAsia" w:ascii="仿宋_GB2312" w:hAnsi="Dotum"/>
          <w:bCs/>
        </w:rPr>
        <w:t>技术合同登记机构</w:t>
      </w:r>
      <w:r>
        <w:rPr>
          <w:rFonts w:hint="eastAsia" w:ascii="仿宋_GB2312" w:hAnsi="Dotum"/>
          <w:bCs/>
        </w:rPr>
        <w:fldChar w:fldCharType="end"/>
      </w:r>
      <w:r>
        <w:rPr>
          <w:rFonts w:hint="eastAsia" w:ascii="仿宋_GB2312" w:hAnsi="Dotum"/>
          <w:bCs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省深入贯彻落实《中共中央、国务院印发关于构建更加完善的要素市场化配置体制机制的意见》和省政府《关于进一步加强以用为导向产学研结合的意见》，积极营造技术市场发展环境，激发要素市场发展活力，健全技术转移机制，落实技术转移服务机构奖补，全省技术市场发展成效明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Dotum"/>
          <w:bCs/>
          <w:lang w:eastAsia="zh-CN"/>
        </w:rPr>
        <w:t>截至</w:t>
      </w:r>
      <w:r>
        <w:rPr>
          <w:rFonts w:ascii="仿宋_GB2312" w:hAnsi="Dotum"/>
          <w:bCs/>
        </w:rPr>
        <w:t>20</w:t>
      </w:r>
      <w:r>
        <w:rPr>
          <w:rFonts w:hint="eastAsia" w:ascii="仿宋_GB2312" w:hAnsi="Dotum"/>
          <w:bCs/>
          <w:lang w:val="en-US" w:eastAsia="zh-CN"/>
        </w:rPr>
        <w:t>20年12月31日，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共登记技术合同10943项，成交金额183.86亿元，较上一年分别增长24.6%和25.9%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输出技术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10753项，成交金额163.54亿元，同比分别增长24.4%和17.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%；吸纳技术11886项，成交金额513.72亿元，同比分别增长22.3%和22.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%。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登记技术合同成交金额居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前三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位的设区市依次是：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厦门、福州和泉州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Dotum"/>
          <w:bCs/>
          <w:szCs w:val="32"/>
          <w:u w:val="none"/>
        </w:rPr>
        <w:t>占全省的比例分别为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63.2%、32.3%和2.6%。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>现将2020年度全省各设区市技术合同交易数据及排名予以公布，供各地开展科技成果转化和</w:t>
      </w:r>
      <w:r>
        <w:rPr>
          <w:rFonts w:hint="eastAsia" w:ascii="仿宋_GB2312" w:hAnsi="Dotum"/>
          <w:bCs/>
          <w:szCs w:val="32"/>
        </w:rPr>
        <w:t>技术</w:t>
      </w:r>
      <w:r>
        <w:rPr>
          <w:rFonts w:hint="eastAsia" w:ascii="仿宋_GB2312" w:hAnsi="Dotum"/>
          <w:bCs/>
          <w:szCs w:val="32"/>
          <w:lang w:eastAsia="zh-CN"/>
        </w:rPr>
        <w:t>市场管理工作</w:t>
      </w:r>
      <w:r>
        <w:rPr>
          <w:rFonts w:hint="eastAsia" w:ascii="仿宋_GB2312" w:hAnsi="Dotum"/>
          <w:bCs/>
          <w:szCs w:val="32"/>
        </w:rPr>
        <w:t>参考。</w:t>
      </w:r>
    </w:p>
    <w:p>
      <w:pPr>
        <w:ind w:firstLine="640" w:firstLineChars="200"/>
        <w:jc w:val="both"/>
        <w:rPr>
          <w:rFonts w:hint="eastAsia" w:ascii="仿宋_GB2312" w:hAnsi="Dotum"/>
          <w:bCs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>附件：1.2020年全省技术合同登记情况表</w:t>
      </w:r>
    </w:p>
    <w:p>
      <w:pPr>
        <w:ind w:firstLine="640" w:firstLineChars="200"/>
        <w:jc w:val="both"/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 xml:space="preserve">      2.2020年全省技术流向情况表</w:t>
      </w:r>
    </w:p>
    <w:p>
      <w:pPr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 xml:space="preserve">                             </w:t>
      </w: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>福建省科学技术厅</w:t>
      </w:r>
    </w:p>
    <w:p>
      <w:pPr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 xml:space="preserve">                             2021 年3月5日</w:t>
      </w:r>
    </w:p>
    <w:bookmarkEnd w:id="0"/>
    <w:p>
      <w:pPr>
        <w:ind w:firstLine="640" w:firstLineChars="200"/>
        <w:rPr>
          <w:rFonts w:hint="eastAsia" w:ascii="仿宋_GB2312" w:hAnsi="Dotum"/>
          <w:bCs/>
          <w:szCs w:val="32"/>
          <w:lang w:val="en-US" w:eastAsia="zh-CN"/>
        </w:rPr>
      </w:pPr>
      <w:r>
        <w:rPr>
          <w:rFonts w:hint="eastAsia" w:ascii="仿宋_GB2312" w:hAnsi="Dotum"/>
          <w:bCs/>
          <w:szCs w:val="32"/>
          <w:lang w:val="en-US" w:eastAsia="zh-CN"/>
        </w:rPr>
        <w:t>（此件主动公开）</w:t>
      </w: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rPr>
          <w:rFonts w:hint="eastAsia" w:ascii="仿宋_GB2312" w:hAnsi="Dotum" w:cs="仿宋_GB2312"/>
        </w:rPr>
      </w:pPr>
    </w:p>
    <w:p>
      <w:pPr>
        <w:rPr>
          <w:rFonts w:hint="eastAsia" w:ascii="宋体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Dotum" w:cs="仿宋_GB2312"/>
        </w:rPr>
        <w:t>附件</w:t>
      </w:r>
      <w:r>
        <w:rPr>
          <w:rFonts w:hint="eastAsia" w:ascii="仿宋_GB2312" w:hAnsi="Dotum" w:cs="仿宋_GB231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cs="仿宋_GB2312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年全省技术合同登记情况表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仿宋_GB2312"/>
          <w:lang w:val="en-US" w:eastAsia="zh-CN"/>
        </w:rPr>
        <w:t xml:space="preserve">                                     </w:t>
      </w:r>
      <w:r>
        <w:rPr>
          <w:rFonts w:hint="eastAsia" w:cs="仿宋_GB2312"/>
        </w:rPr>
        <w:t>单位：项数、亿元</w:t>
      </w:r>
    </w:p>
    <w:tbl>
      <w:tblPr>
        <w:tblStyle w:val="5"/>
        <w:tblpPr w:leftFromText="180" w:rightFromText="180" w:vertAnchor="text" w:horzAnchor="page" w:tblpXSpec="center" w:tblpY="335"/>
        <w:tblOverlap w:val="never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81"/>
        <w:gridCol w:w="1603"/>
        <w:gridCol w:w="1251"/>
        <w:gridCol w:w="1317"/>
        <w:gridCol w:w="1296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eastAsia="zh-CN"/>
              </w:rPr>
              <w:t>地区</w:t>
            </w:r>
            <w:r>
              <w:rPr>
                <w:rFonts w:ascii="仿宋_GB2312" w:hAnsi="宋体" w:cs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</w:rPr>
              <w:t>成交额增长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sz w:val="28"/>
                <w:szCs w:val="28"/>
              </w:rPr>
              <w:t>排名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合同数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成交额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合同数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成交额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福州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3528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50.11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4449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_GB2312" w:hAnsi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46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厦门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4826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92.53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5793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116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仿宋_GB2312" w:hAnsi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52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漳州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76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0.64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154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89</w:t>
            </w:r>
            <w:r>
              <w:rPr>
                <w:rFonts w:ascii="仿宋_GB2312" w:hAnsi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仿宋_GB2312" w:cs="仿宋_GB2312"/>
                <w:sz w:val="28"/>
                <w:szCs w:val="28"/>
              </w:rPr>
              <w:t>6%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泉州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190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1.37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317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07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197</w:t>
            </w:r>
            <w:r>
              <w:rPr>
                <w:rFonts w:ascii="仿宋_GB2312" w:hAnsi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三明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0.22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59.09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莆田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0.12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175.00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南平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0.18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588.89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龙岩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110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0.31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0.80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158.06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宁德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32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0.47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Times New Roman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-21.28</w:t>
            </w:r>
            <w:r>
              <w:rPr>
                <w:rFonts w:ascii="仿宋_GB2312" w:hAnsi="仿宋_GB2312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平潭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b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8786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145.94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Dotum" w:cs="仿宋_GB2312"/>
                <w:sz w:val="28"/>
                <w:szCs w:val="28"/>
                <w:lang w:val="en-US" w:eastAsia="zh-CN"/>
              </w:rPr>
              <w:t>10943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Dotum" w:cs="仿宋_GB2312"/>
                <w:sz w:val="28"/>
                <w:szCs w:val="28"/>
              </w:rPr>
              <w:t>183</w:t>
            </w:r>
            <w:r>
              <w:rPr>
                <w:rFonts w:hint="eastAsia" w:ascii="仿宋_GB2312" w:hAnsi="Dotum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Dotum" w:cs="仿宋_GB2312"/>
                <w:sz w:val="28"/>
                <w:szCs w:val="28"/>
              </w:rPr>
              <w:t>86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Dotum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仿宋_GB2312" w:hAnsi="Dotum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Dotum" w:cs="仿宋_GB2312"/>
                <w:sz w:val="28"/>
                <w:szCs w:val="28"/>
                <w:lang w:val="en-US" w:eastAsia="zh-CN"/>
              </w:rPr>
              <w:t>98</w:t>
            </w:r>
            <w:r>
              <w:rPr>
                <w:rFonts w:ascii="仿宋_GB2312" w:hAnsi="Dotum" w:cs="仿宋_GB2312"/>
                <w:sz w:val="28"/>
                <w:szCs w:val="28"/>
              </w:rPr>
              <w:t>%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Dotum"/>
          <w:bCs/>
          <w:szCs w:val="32"/>
          <w:lang w:val="en-US" w:eastAsia="zh-CN"/>
        </w:rPr>
      </w:pPr>
      <w:r>
        <w:t xml:space="preserve">                            </w:t>
      </w:r>
    </w:p>
    <w:p>
      <w:pPr>
        <w:rPr>
          <w:rFonts w:hint="eastAsia" w:ascii="仿宋_GB2312" w:hAnsi="Dotum"/>
          <w:bCs/>
          <w:szCs w:val="32"/>
          <w:lang w:val="en-US" w:eastAsia="zh-CN"/>
        </w:rPr>
      </w:pPr>
    </w:p>
    <w:p>
      <w:pPr>
        <w:pStyle w:val="2"/>
        <w:rPr>
          <w:rFonts w:hint="eastAsia" w:ascii="仿宋_GB2312" w:hAnsi="Dotum"/>
          <w:bCs/>
          <w:szCs w:val="32"/>
          <w:lang w:val="en-US" w:eastAsia="zh-CN"/>
        </w:rPr>
      </w:pPr>
    </w:p>
    <w:p>
      <w:pPr>
        <w:pStyle w:val="2"/>
        <w:rPr>
          <w:rFonts w:hint="eastAsia" w:ascii="仿宋_GB2312" w:hAnsi="Dotum"/>
          <w:bCs/>
          <w:szCs w:val="32"/>
          <w:lang w:val="en-US" w:eastAsia="zh-CN"/>
        </w:rPr>
      </w:pPr>
    </w:p>
    <w:p>
      <w:pPr>
        <w:pStyle w:val="2"/>
        <w:rPr>
          <w:rFonts w:hint="eastAsia" w:ascii="仿宋_GB2312" w:hAnsi="Dotum"/>
          <w:bCs/>
          <w:szCs w:val="32"/>
          <w:lang w:val="en-US" w:eastAsia="zh-C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hint="eastAsia" w:ascii="Times New Roman" w:hAnsi="Times New Roman" w:cs="Times New Roman"/>
        </w:rPr>
      </w:pPr>
    </w:p>
    <w:p>
      <w:pPr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2</w:t>
      </w:r>
    </w:p>
    <w:tbl>
      <w:tblPr>
        <w:tblStyle w:val="5"/>
        <w:tblpPr w:leftFromText="180" w:rightFromText="180" w:vertAnchor="text" w:horzAnchor="margin" w:tblpXSpec="center" w:tblpY="158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94"/>
        <w:gridCol w:w="1820"/>
        <w:gridCol w:w="138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6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年全省技术流向情况表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6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单位：项数、亿元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地区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输出技术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吸纳技术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合同数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成交金额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合同数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成交金额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州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4363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47.52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3909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门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5727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108.77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4559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州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0.63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州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1034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明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田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平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岩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0.74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357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潭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计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10753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163.54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11886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513.72</w:t>
            </w:r>
          </w:p>
        </w:tc>
      </w:tr>
    </w:tbl>
    <w:p>
      <w:pPr>
        <w:rPr>
          <w:rFonts w:hint="eastAsia" w:ascii="仿宋_GB2312" w:hAnsi="Dotum" w:cs="Times New Roman"/>
          <w:bCs/>
          <w:szCs w:val="32"/>
          <w:lang w:val="en-US" w:eastAsia="zh-CN"/>
        </w:rPr>
      </w:pPr>
    </w:p>
    <w:p>
      <w:pPr>
        <w:pStyle w:val="2"/>
        <w:rPr>
          <w:rFonts w:hint="eastAsia" w:ascii="仿宋_GB2312" w:hAnsi="Dotum"/>
          <w:bCs/>
          <w:szCs w:val="32"/>
          <w:lang w:val="en-US" w:eastAsia="zh-CN"/>
        </w:rPr>
      </w:pPr>
    </w:p>
    <w:sectPr>
      <w:pgSz w:w="11906" w:h="16838"/>
      <w:pgMar w:top="1417" w:right="1474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F56E6"/>
    <w:rsid w:val="051C19F7"/>
    <w:rsid w:val="070350ED"/>
    <w:rsid w:val="0D0C50E4"/>
    <w:rsid w:val="0F234F07"/>
    <w:rsid w:val="18942345"/>
    <w:rsid w:val="18B6297C"/>
    <w:rsid w:val="1B1A11B8"/>
    <w:rsid w:val="1B407E97"/>
    <w:rsid w:val="1BEC6B99"/>
    <w:rsid w:val="1D922031"/>
    <w:rsid w:val="21B27D5E"/>
    <w:rsid w:val="243C2808"/>
    <w:rsid w:val="293736D0"/>
    <w:rsid w:val="29EF11EC"/>
    <w:rsid w:val="2A764FD9"/>
    <w:rsid w:val="2CDE3198"/>
    <w:rsid w:val="2D790E17"/>
    <w:rsid w:val="2D882EFF"/>
    <w:rsid w:val="2E296DED"/>
    <w:rsid w:val="32692F5E"/>
    <w:rsid w:val="32AD2682"/>
    <w:rsid w:val="376A3F39"/>
    <w:rsid w:val="37E676E7"/>
    <w:rsid w:val="38D03490"/>
    <w:rsid w:val="3B725C45"/>
    <w:rsid w:val="3C3C6A1F"/>
    <w:rsid w:val="3D15037A"/>
    <w:rsid w:val="43C9479E"/>
    <w:rsid w:val="4450187A"/>
    <w:rsid w:val="4E4577F3"/>
    <w:rsid w:val="4EA765BB"/>
    <w:rsid w:val="53EE164B"/>
    <w:rsid w:val="557E63EB"/>
    <w:rsid w:val="5C3B1098"/>
    <w:rsid w:val="5D2C7339"/>
    <w:rsid w:val="5DA26BDA"/>
    <w:rsid w:val="5F2B4166"/>
    <w:rsid w:val="63FC7BC0"/>
    <w:rsid w:val="66B04A0D"/>
    <w:rsid w:val="6AA0345D"/>
    <w:rsid w:val="6D3D1EC5"/>
    <w:rsid w:val="6ECA58A5"/>
    <w:rsid w:val="708B661E"/>
    <w:rsid w:val="713F4823"/>
    <w:rsid w:val="718D5EF2"/>
    <w:rsid w:val="74E6359D"/>
    <w:rsid w:val="755B0953"/>
    <w:rsid w:val="764F56E6"/>
    <w:rsid w:val="7C721671"/>
    <w:rsid w:val="7C851B72"/>
    <w:rsid w:val="7C891837"/>
    <w:rsid w:val="7C9A0276"/>
    <w:rsid w:val="7E024D5B"/>
    <w:rsid w:val="7EC04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40" w:beforeLines="0" w:line="500" w:lineRule="exact"/>
    </w:pPr>
    <w:rPr>
      <w:rFonts w:ascii="宋体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2020-02-04T07:10:00Z</dcterms:created>
  <dc:creator>hp</dc:creator>
  <cp:lastModifiedBy>zz洲</cp:lastModifiedBy>
  <cp:lastPrinted>2020-03-10T01:39:00Z</cp:lastPrinted>
  <dcterms:modified xsi:type="dcterms:W3CDTF">2021-03-11T09:08:15Z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