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1000" w:lineRule="exact"/>
        <w:ind w:right="160"/>
        <w:jc w:val="left"/>
        <w:rPr>
          <w:rFonts w:hint="eastAsia" w:ascii="方正小标宋简体" w:hAnsi="方正小标宋简体" w:eastAsia="方正小标宋简体" w:cs="方正小标宋简体"/>
          <w:color w:val="FF0000"/>
          <w:spacing w:val="113"/>
          <w:sz w:val="84"/>
          <w:szCs w:val="84"/>
        </w:rPr>
      </w:pPr>
    </w:p>
    <w:p>
      <w:pPr>
        <w:snapToGrid w:val="0"/>
        <w:spacing w:line="1000" w:lineRule="exact"/>
        <w:ind w:right="160"/>
        <w:jc w:val="left"/>
        <w:rPr>
          <w:rFonts w:hint="eastAsia" w:ascii="方正小标宋简体" w:hAnsi="方正小标宋简体" w:eastAsia="方正小标宋简体" w:cs="方正小标宋简体"/>
          <w:b/>
          <w:color w:val="FF0000"/>
          <w:sz w:val="84"/>
          <w:szCs w:val="84"/>
          <w:lang w:val="en"/>
        </w:rPr>
      </w:pPr>
      <w:r>
        <w:rPr>
          <w:rFonts w:hint="eastAsia" w:ascii="方正小标宋简体" w:hAnsi="方正小标宋简体" w:eastAsia="方正小标宋简体" w:cs="方正小标宋简体"/>
          <w:color w:val="FF0000"/>
          <w:spacing w:val="113"/>
          <w:sz w:val="84"/>
          <w:szCs w:val="84"/>
        </w:rPr>
        <w:t>福建省科学技术</w:t>
      </w:r>
      <w:r>
        <w:rPr>
          <w:rFonts w:hint="eastAsia" w:ascii="方正小标宋简体" w:hAnsi="方正小标宋简体" w:eastAsia="方正小标宋简体" w:cs="方正小标宋简体"/>
          <w:color w:val="FF0000"/>
          <w:sz w:val="84"/>
          <w:szCs w:val="84"/>
        </w:rPr>
        <w:t>厅</w:t>
      </w:r>
    </w:p>
    <w:p>
      <w:pPr>
        <w:keepNext w:val="0"/>
        <w:keepLines w:val="0"/>
        <w:pageBreakBefore w:val="0"/>
        <w:widowControl w:val="0"/>
        <w:kinsoku/>
        <w:wordWrap/>
        <w:overflowPunct/>
        <w:topLinePunct w:val="0"/>
        <w:autoSpaceDE/>
        <w:autoSpaceDN/>
        <w:bidi w:val="0"/>
        <w:adjustRightInd/>
        <w:snapToGrid/>
        <w:spacing w:line="1000" w:lineRule="exact"/>
        <w:ind w:firstLine="0"/>
        <w:jc w:val="left"/>
        <w:textAlignment w:val="auto"/>
        <w:rPr>
          <w:rFonts w:hint="eastAsia" w:ascii="方正小标宋简体" w:hAnsi="方正小标宋简体" w:eastAsia="方正小标宋简体" w:cs="方正小标宋简体"/>
          <w:color w:val="FF0000"/>
          <w:w w:val="90"/>
          <w:sz w:val="84"/>
          <w:szCs w:val="84"/>
          <w:lang w:val="en-US" w:eastAsia="zh-CN"/>
        </w:rPr>
      </w:pPr>
      <w:r>
        <w:rPr>
          <w:rFonts w:hint="eastAsia" w:ascii="方正小标宋简体" w:hAnsi="方正小标宋简体" w:eastAsia="方正小标宋简体" w:cs="方正小标宋简体"/>
          <w:color w:val="FF0000"/>
          <w:w w:val="90"/>
          <w:sz w:val="84"/>
          <w:szCs w:val="84"/>
          <w:lang w:val="en-US" w:eastAsia="zh-CN"/>
        </w:rPr>
        <w:t>福建省发展和改革委员会</w:t>
      </w:r>
    </w:p>
    <w:p>
      <w:pPr>
        <w:snapToGrid w:val="0"/>
        <w:spacing w:line="1000" w:lineRule="exact"/>
        <w:ind w:right="160"/>
        <w:jc w:val="left"/>
        <w:rPr>
          <w:rFonts w:hint="eastAsia" w:ascii="方正小标宋简体" w:hAnsi="方正小标宋简体" w:eastAsia="方正小标宋简体" w:cs="方正小标宋简体"/>
          <w:b/>
          <w:color w:val="FF0000"/>
          <w:sz w:val="84"/>
          <w:szCs w:val="84"/>
        </w:rPr>
      </w:pPr>
      <w:r>
        <w:rPr>
          <w:rFonts w:ascii="黑体" w:eastAsia="黑体"/>
          <w:b/>
          <w:szCs w:val="32"/>
        </w:rPr>
        <w:pict>
          <v:shape id="_x0000_s2134" o:spid="_x0000_s2134" o:spt="136" type="#_x0000_t136" style="position:absolute;left:0pt;margin-left:413.9pt;margin-top:13.95pt;height:46.9pt;width:87.5pt;z-index:251667456;mso-width-relative:page;mso-height-relative:page;" fillcolor="#FF0000" filled="t" stroked="f" coordsize="21600,21600" adj="10800">
            <v:path/>
            <v:fill on="t" color2="#FFFFFF" focussize="0,0"/>
            <v:stroke on="f"/>
            <v:imagedata o:title=""/>
            <o:lock v:ext="edit" aspectratio="f"/>
            <v:textpath on="t" fitshape="t" fitpath="t" trim="t" xscale="f" string="文件" style="font-family:方正小标宋简体;font-size:63pt;v-text-align:center;"/>
            <v:shadow on="t" obscured="f" color="#B2B2B2" opacity="52428f" offset="0.000236220472440945pt,0pt" offset2="0pt,0pt" origin="0f,0f" matrix="65536f,0f,0f,65536f,0,0"/>
          </v:shape>
        </w:pict>
      </w:r>
      <w:r>
        <w:rPr>
          <w:rFonts w:hint="eastAsia" w:ascii="方正小标宋简体" w:hAnsi="方正小标宋简体" w:eastAsia="方正小标宋简体" w:cs="方正小标宋简体"/>
          <w:color w:val="FF0000"/>
          <w:sz w:val="84"/>
          <w:szCs w:val="84"/>
          <w:lang w:val="en-US" w:eastAsia="zh-CN"/>
        </w:rPr>
        <w:t>福建省工业和信息化厅</w:t>
      </w:r>
      <w:r>
        <w:rPr>
          <w:rFonts w:hint="eastAsia" w:ascii="方正小标宋简体" w:hAnsi="方正小标宋简体" w:eastAsia="方正小标宋简体" w:cs="方正小标宋简体"/>
          <w:b/>
          <w:color w:val="FF0000"/>
          <w:sz w:val="84"/>
          <w:szCs w:val="84"/>
        </w:rPr>
        <w:t xml:space="preserve">                                             </w:t>
      </w:r>
    </w:p>
    <w:p>
      <w:pPr>
        <w:snapToGrid/>
        <w:spacing w:line="1000" w:lineRule="exact"/>
        <w:ind w:right="0"/>
        <w:jc w:val="left"/>
        <w:rPr>
          <w:rFonts w:hint="eastAsia" w:ascii="方正小标宋简体" w:hAnsi="方正小标宋简体" w:eastAsia="方正小标宋简体" w:cs="方正小标宋简体"/>
          <w:b w:val="0"/>
          <w:color w:val="FF0000"/>
          <w:w w:val="100"/>
          <w:sz w:val="84"/>
          <w:szCs w:val="84"/>
        </w:rPr>
      </w:pPr>
      <w:r>
        <w:rPr>
          <w:rFonts w:hint="eastAsia" w:ascii="方正小标宋简体" w:hAnsi="方正小标宋简体" w:eastAsia="方正小标宋简体" w:cs="方正小标宋简体"/>
          <w:color w:val="FF0000"/>
          <w:w w:val="100"/>
          <w:sz w:val="84"/>
          <w:szCs w:val="84"/>
          <w:lang w:val="en-US" w:eastAsia="zh-CN"/>
        </w:rPr>
        <w:t>福建省卫生健康委员会</w:t>
      </w:r>
    </w:p>
    <w:p>
      <w:pPr>
        <w:snapToGrid/>
        <w:spacing w:line="1000" w:lineRule="exact"/>
        <w:ind w:right="0"/>
        <w:jc w:val="left"/>
        <w:rPr>
          <w:rFonts w:hint="eastAsia" w:ascii="方正小标宋简体" w:hAnsi="方正小标宋简体" w:eastAsia="方正小标宋简体" w:cs="方正小标宋简体"/>
          <w:b/>
          <w:color w:val="FF0000"/>
          <w:sz w:val="84"/>
          <w:szCs w:val="84"/>
        </w:rPr>
      </w:pPr>
      <w:r>
        <w:rPr>
          <w:rFonts w:hint="eastAsia" w:ascii="方正小标宋简体" w:hAnsi="方正小标宋简体" w:eastAsia="方正小标宋简体" w:cs="方正小标宋简体"/>
          <w:color w:val="FF0000"/>
          <w:w w:val="100"/>
          <w:sz w:val="84"/>
          <w:szCs w:val="84"/>
          <w:lang w:val="en-US" w:eastAsia="zh-CN"/>
        </w:rPr>
        <w:t>福建省</w:t>
      </w:r>
      <w:r>
        <w:rPr>
          <w:rFonts w:hint="eastAsia" w:ascii="方正小标宋简体" w:hAnsi="方正小标宋简体" w:eastAsia="方正小标宋简体" w:cs="方正小标宋简体"/>
          <w:color w:val="FF0000"/>
          <w:sz w:val="84"/>
          <w:szCs w:val="84"/>
          <w:lang w:val="en-US" w:eastAsia="zh-CN"/>
        </w:rPr>
        <w:t>药品监督管理局</w:t>
      </w:r>
      <w:r>
        <w:rPr>
          <w:rFonts w:hint="eastAsia" w:ascii="方正小标宋简体" w:hAnsi="方正小标宋简体" w:eastAsia="方正小标宋简体" w:cs="方正小标宋简体"/>
          <w:b/>
          <w:color w:val="FF0000"/>
          <w:sz w:val="84"/>
          <w:szCs w:val="84"/>
        </w:rPr>
        <w:t xml:space="preserve">              </w:t>
      </w:r>
    </w:p>
    <w:p>
      <w:pPr>
        <w:keepNext w:val="0"/>
        <w:keepLines w:val="0"/>
        <w:pageBreakBefore w:val="0"/>
        <w:widowControl/>
        <w:kinsoku/>
        <w:wordWrap/>
        <w:overflowPunct/>
        <w:topLinePunct w:val="0"/>
        <w:autoSpaceDE/>
        <w:autoSpaceDN/>
        <w:bidi w:val="0"/>
        <w:adjustRightInd/>
        <w:snapToGrid w:val="0"/>
        <w:spacing w:line="1000" w:lineRule="exact"/>
        <w:ind w:right="0" w:firstLine="0"/>
        <w:jc w:val="left"/>
        <w:textAlignment w:val="auto"/>
        <w:rPr>
          <w:rFonts w:hint="eastAsia" w:ascii="方正小标宋简体" w:hAnsi="方正小标宋简体" w:eastAsia="方正小标宋简体" w:cs="方正小标宋简体"/>
          <w:color w:val="FF0000"/>
          <w:sz w:val="84"/>
          <w:szCs w:val="84"/>
          <w:lang w:val="en-US" w:eastAsia="zh-CN"/>
        </w:rPr>
      </w:pPr>
      <w:r>
        <w:rPr>
          <w:rFonts w:hint="eastAsia" w:ascii="方正小标宋简体" w:hAnsi="方正小标宋简体" w:eastAsia="方正小标宋简体" w:cs="方正小标宋简体"/>
          <w:color w:val="FF0000"/>
          <w:spacing w:val="113"/>
          <w:sz w:val="84"/>
          <w:szCs w:val="84"/>
          <w:lang w:val="en-US" w:eastAsia="zh-CN"/>
        </w:rPr>
        <w:t>福建省数据管理</w:t>
      </w:r>
      <w:r>
        <w:rPr>
          <w:rFonts w:hint="eastAsia" w:ascii="方正小标宋简体" w:hAnsi="方正小标宋简体" w:eastAsia="方正小标宋简体" w:cs="方正小标宋简体"/>
          <w:color w:val="FF0000"/>
          <w:sz w:val="84"/>
          <w:szCs w:val="84"/>
          <w:lang w:val="en-US" w:eastAsia="zh-CN"/>
        </w:rPr>
        <w:t>局</w:t>
      </w:r>
    </w:p>
    <w:p>
      <w:pPr>
        <w:snapToGrid w:val="0"/>
        <w:spacing w:line="400" w:lineRule="exact"/>
        <w:ind w:right="1440"/>
        <w:jc w:val="left"/>
        <w:rPr>
          <w:rFonts w:hint="eastAsia" w:ascii="方正小标宋简体" w:hAnsi="方正小标宋简体" w:eastAsia="方正小标宋简体" w:cs="方正小标宋简体"/>
          <w:bCs/>
          <w:sz w:val="44"/>
          <w:szCs w:val="44"/>
          <w:lang w:eastAsia="zh-CN"/>
        </w:rPr>
      </w:pPr>
    </w:p>
    <w:p>
      <w:pPr>
        <w:snapToGrid w:val="0"/>
        <w:spacing w:line="580" w:lineRule="exact"/>
        <w:jc w:val="center"/>
        <w:rPr>
          <w:rFonts w:hint="eastAsia" w:ascii="方正小标宋简体" w:hAnsi="方正小标宋简体" w:eastAsia="方正小标宋简体" w:cs="方正小标宋简体"/>
          <w:bCs/>
          <w:sz w:val="44"/>
          <w:szCs w:val="44"/>
          <w:lang w:eastAsia="zh-CN"/>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1726565</wp:posOffset>
                </wp:positionH>
                <wp:positionV relativeFrom="paragraph">
                  <wp:posOffset>204470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2584450" cy="382270"/>
                        </a:xfrm>
                        <a:prstGeom prst="rect">
                          <a:avLst/>
                        </a:prstGeom>
                        <a:noFill/>
                        <a:ln>
                          <a:noFill/>
                        </a:ln>
                      </wps:spPr>
                      <wps:txbx>
                        <w:txbxContent>
                          <w:p>
                            <w:pPr>
                              <w:widowControl/>
                              <w:jc w:val="left"/>
                              <w:rPr>
                                <w:rFonts w:hint="default" w:ascii="仿宋" w:hAnsi="仿宋" w:eastAsia="仿宋" w:cs="仿宋"/>
                                <w:color w:val="000000"/>
                                <w:kern w:val="0"/>
                                <w:szCs w:val="32"/>
                                <w:lang w:val="en-US" w:eastAsia="zh-CN" w:bidi="ar"/>
                              </w:rPr>
                            </w:pP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eastAsia="zh-CN" w:bidi="ar"/>
                              </w:rPr>
                              <w:t>闽科社〔</w:t>
                            </w:r>
                            <w:r>
                              <w:rPr>
                                <w:rFonts w:hint="eastAsia" w:ascii="仿宋" w:hAnsi="仿宋" w:eastAsia="仿宋" w:cs="仿宋"/>
                                <w:color w:val="000000"/>
                                <w:kern w:val="0"/>
                                <w:szCs w:val="32"/>
                                <w:lang w:val="en-US" w:eastAsia="zh-CN" w:bidi="ar"/>
                              </w:rPr>
                              <w:t>2026</w:t>
                            </w:r>
                            <w:r>
                              <w:rPr>
                                <w:rFonts w:hint="eastAsia" w:ascii="仿宋" w:hAnsi="仿宋" w:eastAsia="仿宋" w:cs="仿宋"/>
                                <w:color w:val="000000"/>
                                <w:kern w:val="0"/>
                                <w:szCs w:val="32"/>
                                <w:lang w:eastAsia="zh-CN" w:bidi="ar"/>
                              </w:rPr>
                              <w:t>〕</w:t>
                            </w:r>
                            <w:r>
                              <w:rPr>
                                <w:rFonts w:hint="eastAsia" w:ascii="仿宋" w:hAnsi="仿宋" w:eastAsia="仿宋" w:cs="仿宋"/>
                                <w:color w:val="000000"/>
                                <w:kern w:val="0"/>
                                <w:szCs w:val="32"/>
                                <w:lang w:val="en-US" w:eastAsia="zh-CN" w:bidi="ar"/>
                              </w:rPr>
                              <w:t>5号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35.95pt;margin-top:16.1pt;height:30.1pt;width:203.5pt;z-index:251662336;mso-width-relative:page;mso-height-relative:page;" filled="f" stroked="f" coordsize="21600,21600" o:gfxdata="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EvCXpDZAAAACQEA&#10;AA8AAAAAAAAAAQAgAAAAOAAAAGRycy9kb3ducmV2LnhtbFBLAQIUABQAAAAIAIdO4kBS2TXeygEA&#10;AGoDAAAOAAAAAAAAAAEAIAAAAD4BAABkcnMvZTJvRG9jLnhtbFBLBQYAAAAABgAGAFkBAAB6BQAA&#10;AAA=&#10;">
                <v:fill on="f" focussize="0,0"/>
                <v:stroke on="f"/>
                <v:imagedata o:title=""/>
                <o:lock v:ext="edit" aspectratio="f"/>
                <v:textbox inset="0mm,1.27mm,0mm,1.27mm">
                  <w:txbxContent>
                    <w:p>
                      <w:pPr>
                        <w:widowControl/>
                        <w:jc w:val="left"/>
                        <w:rPr>
                          <w:rFonts w:hint="default" w:ascii="仿宋" w:hAnsi="仿宋" w:eastAsia="仿宋" w:cs="仿宋"/>
                          <w:color w:val="000000"/>
                          <w:kern w:val="0"/>
                          <w:szCs w:val="32"/>
                          <w:lang w:val="en-US" w:eastAsia="zh-CN" w:bidi="ar"/>
                        </w:rPr>
                      </w:pP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eastAsia="zh-CN" w:bidi="ar"/>
                        </w:rPr>
                        <w:t>闽科社〔</w:t>
                      </w:r>
                      <w:r>
                        <w:rPr>
                          <w:rFonts w:hint="eastAsia" w:ascii="仿宋" w:hAnsi="仿宋" w:eastAsia="仿宋" w:cs="仿宋"/>
                          <w:color w:val="000000"/>
                          <w:kern w:val="0"/>
                          <w:szCs w:val="32"/>
                          <w:lang w:val="en-US" w:eastAsia="zh-CN" w:bidi="ar"/>
                        </w:rPr>
                        <w:t>2026</w:t>
                      </w:r>
                      <w:r>
                        <w:rPr>
                          <w:rFonts w:hint="eastAsia" w:ascii="仿宋" w:hAnsi="仿宋" w:eastAsia="仿宋" w:cs="仿宋"/>
                          <w:color w:val="000000"/>
                          <w:kern w:val="0"/>
                          <w:szCs w:val="32"/>
                          <w:lang w:eastAsia="zh-CN" w:bidi="ar"/>
                        </w:rPr>
                        <w:t>〕</w:t>
                      </w:r>
                      <w:r>
                        <w:rPr>
                          <w:rFonts w:hint="eastAsia" w:ascii="仿宋" w:hAnsi="仿宋" w:eastAsia="仿宋" w:cs="仿宋"/>
                          <w:color w:val="000000"/>
                          <w:kern w:val="0"/>
                          <w:szCs w:val="32"/>
                          <w:lang w:val="en-US" w:eastAsia="zh-CN" w:bidi="ar"/>
                        </w:rPr>
                        <w:t>5号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p>
    <w:p>
      <w:pPr>
        <w:snapToGrid w:val="0"/>
        <w:spacing w:line="580" w:lineRule="exact"/>
        <w:jc w:val="center"/>
        <w:rPr>
          <w:rFonts w:hint="eastAsia" w:ascii="方正小标宋简体" w:hAnsi="方正小标宋简体" w:eastAsia="方正小标宋简体" w:cs="方正小标宋简体"/>
          <w:bCs/>
          <w:sz w:val="44"/>
          <w:szCs w:val="44"/>
          <w:lang w:eastAsia="zh-CN"/>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-30480</wp:posOffset>
                </wp:positionH>
                <wp:positionV relativeFrom="paragraph">
                  <wp:posOffset>318770</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2.4pt;margin-top:25.1pt;height:1.05pt;width:441.6pt;z-index:251663360;mso-width-relative:page;mso-height-relative:page;" filled="f" stroked="t" coordsize="21600,21600" o:gfxdata="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WAAAAZHJzL1BLAQIUABQAAAAIAIdO&#10;4kB0p5k52gAAAAgBAAAPAAAAAAAAAAEAIAAAADgAAABkcnMvZG93bnJldi54bWxQSwECFAAUAAAA&#10;CACHTuJA3xEQvtYBAACUAwAADgAAAAAAAAABACAAAAA/AQAAZHJzL2Uyb0RvYy54bWxQSwUGAAAA&#10;AAYABgBZAQAAhwUAAAAA&#10;">
                <v:fill on="f" focussize="0,0"/>
                <v:stroke weight="2.25pt" color="#FF0000" joinstyle="round"/>
                <v:imagedata o:title=""/>
                <o:lock v:ext="edit" aspectratio="f"/>
              </v:line>
            </w:pict>
          </mc:Fallback>
        </mc:AlternateContent>
      </w:r>
    </w:p>
    <w:p>
      <w:pPr>
        <w:snapToGrid w:val="0"/>
        <w:spacing w:line="580" w:lineRule="exact"/>
        <w:jc w:val="center"/>
        <w:rPr>
          <w:rFonts w:hint="eastAsia" w:ascii="方正小标宋简体" w:hAnsi="方正小标宋简体" w:eastAsia="方正小标宋简体" w:cs="方正小标宋简体"/>
          <w:bCs/>
          <w:sz w:val="44"/>
          <w:szCs w:val="44"/>
          <w:lang w:eastAsia="zh-CN"/>
        </w:rPr>
      </w:pPr>
    </w:p>
    <w:p>
      <w:pPr>
        <w:snapToGrid w:val="0"/>
        <w:spacing w:line="58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福建省科学技术厅等六部门关于印发《福建省脑机接口</w:t>
      </w:r>
      <w:bookmarkStart w:id="1" w:name="_GoBack"/>
      <w:r>
        <w:rPr>
          <w:rFonts w:hint="eastAsia" w:ascii="方正小标宋简体" w:hAnsi="方正小标宋简体" w:eastAsia="方正小标宋简体" w:cs="方正小标宋简体"/>
          <w:bCs/>
          <w:sz w:val="44"/>
          <w:szCs w:val="44"/>
          <w:lang w:eastAsia="zh-CN"/>
        </w:rPr>
        <w:t>科技产业发展行动计划</w:t>
      </w:r>
      <w:bookmarkEnd w:id="1"/>
      <w:r>
        <w:rPr>
          <w:rFonts w:hint="eastAsia" w:ascii="方正小标宋简体" w:hAnsi="方正小标宋简体" w:eastAsia="方正小标宋简体" w:cs="方正小标宋简体"/>
          <w:bCs/>
          <w:sz w:val="44"/>
          <w:szCs w:val="44"/>
          <w:lang w:eastAsia="zh-CN"/>
        </w:rPr>
        <w:t xml:space="preserve"> </w:t>
      </w:r>
    </w:p>
    <w:p>
      <w:pPr>
        <w:snapToGrid w:val="0"/>
        <w:spacing w:line="58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（2026—2030年）》的通知</w:t>
      </w:r>
      <w:r>
        <w:rPr>
          <w:rFonts w:hint="eastAsia" w:ascii="方正小标宋_GBK" w:hAnsi="方正小标宋_GBK" w:eastAsia="方正小标宋_GBK" w:cs="方正小标宋_GBK"/>
          <w:bCs/>
          <w:sz w:val="44"/>
          <w:szCs w:val="44"/>
        </w:rPr>
        <w:t xml:space="preserve">                                    </w:t>
      </w:r>
    </w:p>
    <w:p>
      <w:pPr>
        <w:rPr>
          <w:rFonts w:hint="eastAsia" w:ascii="仿宋" w:hAnsi="仿宋" w:eastAsia="仿宋" w:cs="仿宋"/>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Cs w:val="32"/>
          <w:lang w:eastAsia="zh-CN"/>
        </w:rPr>
      </w:pPr>
      <w:r>
        <w:rPr>
          <w:rFonts w:hint="eastAsia" w:ascii="仿宋" w:hAnsi="仿宋" w:eastAsia="仿宋" w:cs="仿宋"/>
          <w:szCs w:val="32"/>
          <w:lang w:eastAsia="zh-CN"/>
        </w:rPr>
        <w:t>各设区市科技局、发改委、工信局、卫健委、市场监管局、数据管理局，平潭综合实验区经发局、社会事业局、行政审批局，省直有关单位：</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仿宋" w:hAnsi="仿宋" w:eastAsia="仿宋" w:cs="仿宋"/>
          <w:szCs w:val="32"/>
          <w:lang w:val="en-US" w:eastAsia="zh-CN"/>
        </w:rPr>
      </w:pPr>
      <w:r>
        <w:rPr>
          <w:rFonts w:hint="eastAsia" w:ascii="仿宋" w:hAnsi="仿宋" w:eastAsia="仿宋" w:cs="仿宋"/>
          <w:szCs w:val="32"/>
          <w:lang w:val="en-US" w:eastAsia="zh-CN"/>
        </w:rPr>
        <w:t xml:space="preserve">    现将《福建省脑机接口科技产业发展行动计划 （2026—2030年）》印发给你们，请结合实际，认真贯彻执行。</w:t>
      </w:r>
    </w:p>
    <w:p>
      <w:pPr>
        <w:keepNext w:val="0"/>
        <w:keepLines w:val="0"/>
        <w:pageBreakBefore w:val="0"/>
        <w:widowControl w:val="0"/>
        <w:kinsoku/>
        <w:wordWrap/>
        <w:overflowPunct/>
        <w:topLinePunct w:val="0"/>
        <w:autoSpaceDE/>
        <w:autoSpaceDN/>
        <w:bidi w:val="0"/>
        <w:adjustRightInd/>
        <w:snapToGrid/>
        <w:spacing w:line="600" w:lineRule="exact"/>
        <w:ind w:firstLine="680"/>
        <w:textAlignment w:val="auto"/>
        <w:rPr>
          <w:rFonts w:ascii="仿宋" w:hAnsi="仿宋" w:eastAsia="仿宋" w:cs="仿宋"/>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r>
        <w:rPr>
          <w:rFonts w:hint="eastAsia" w:ascii="仿宋" w:hAnsi="仿宋" w:eastAsia="仿宋" w:cs="仿宋"/>
          <w:szCs w:val="32"/>
        </w:rPr>
        <w:t xml:space="preserve">福建省科学技术厅 </w:t>
      </w:r>
      <w:r>
        <w:rPr>
          <w:rFonts w:hint="eastAsia" w:ascii="仿宋" w:hAnsi="仿宋" w:eastAsia="仿宋" w:cs="仿宋"/>
          <w:szCs w:val="32"/>
          <w:lang w:val="en-US" w:eastAsia="zh-CN"/>
        </w:rPr>
        <w:t xml:space="preserve">        福建省发展和改革委员会</w:t>
      </w: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r>
        <w:rPr>
          <w:rFonts w:hint="eastAsia" w:ascii="仿宋" w:hAnsi="仿宋" w:eastAsia="仿宋" w:cs="仿宋"/>
          <w:szCs w:val="32"/>
          <w:lang w:val="en-US" w:eastAsia="zh-CN"/>
        </w:rPr>
        <w:t>福建省工业和信息化厅     福建省卫生健康委员会</w:t>
      </w: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75"/>
        <w:textAlignment w:val="auto"/>
        <w:rPr>
          <w:rFonts w:hint="eastAsia" w:ascii="仿宋" w:hAnsi="仿宋" w:eastAsia="仿宋" w:cs="仿宋"/>
          <w:szCs w:val="32"/>
          <w:lang w:val="en-US" w:eastAsia="zh-CN"/>
        </w:rPr>
      </w:pPr>
      <w:r>
        <w:rPr>
          <w:rFonts w:hint="eastAsia" w:ascii="仿宋" w:hAnsi="仿宋" w:eastAsia="仿宋" w:cs="仿宋"/>
          <w:szCs w:val="32"/>
          <w:lang w:val="en-US" w:eastAsia="zh-CN"/>
        </w:rPr>
        <w:t>福建省药品监督管理局         福建省数据管理局</w:t>
      </w:r>
    </w:p>
    <w:p>
      <w:pPr>
        <w:keepNext w:val="0"/>
        <w:keepLines w:val="0"/>
        <w:pageBreakBefore w:val="0"/>
        <w:widowControl w:val="0"/>
        <w:kinsoku/>
        <w:wordWrap/>
        <w:overflowPunct/>
        <w:topLinePunct w:val="0"/>
        <w:autoSpaceDE/>
        <w:autoSpaceDN/>
        <w:bidi w:val="0"/>
        <w:adjustRightInd/>
        <w:snapToGrid/>
        <w:spacing w:line="600" w:lineRule="exact"/>
        <w:ind w:firstLine="5440" w:firstLineChars="1700"/>
        <w:textAlignment w:val="auto"/>
        <w:rPr>
          <w:rFonts w:ascii="仿宋" w:hAnsi="仿宋" w:eastAsia="仿宋" w:cs="仿宋"/>
          <w:szCs w:val="32"/>
        </w:rPr>
      </w:pPr>
      <w:r>
        <w:rPr>
          <w:rFonts w:hint="eastAsia" w:ascii="仿宋" w:hAnsi="仿宋" w:eastAsia="仿宋" w:cs="仿宋"/>
          <w:szCs w:val="32"/>
        </w:rPr>
        <w:t xml:space="preserve"> 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8</w:t>
      </w:r>
      <w:r>
        <w:rPr>
          <w:rFonts w:hint="eastAsia" w:ascii="仿宋" w:hAnsi="仿宋" w:eastAsia="仿宋" w:cs="仿宋"/>
          <w:szCs w:val="32"/>
        </w:rPr>
        <w:t>月</w:t>
      </w:r>
      <w:r>
        <w:rPr>
          <w:rFonts w:hint="eastAsia" w:ascii="仿宋" w:hAnsi="仿宋" w:eastAsia="仿宋" w:cs="仿宋"/>
          <w:szCs w:val="32"/>
          <w:lang w:val="en-US" w:eastAsia="zh-CN"/>
        </w:rPr>
        <w:t>9</w:t>
      </w:r>
      <w:r>
        <w:rPr>
          <w:rFonts w:hint="eastAsia" w:ascii="仿宋" w:hAnsi="仿宋" w:eastAsia="仿宋" w:cs="仿宋"/>
          <w:szCs w:val="32"/>
        </w:rPr>
        <w:t>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仿宋" w:hAnsi="仿宋" w:eastAsia="仿宋" w:cs="仿宋"/>
          <w:szCs w:val="32"/>
        </w:rPr>
      </w:pPr>
      <w:r>
        <w:rPr>
          <w:rFonts w:hint="eastAsia" w:ascii="仿宋" w:hAnsi="仿宋" w:eastAsia="仿宋" w:cs="仿宋"/>
          <w:szCs w:val="32"/>
        </w:rPr>
        <w:t xml:space="preserve">    （此件</w:t>
      </w:r>
      <w:r>
        <w:rPr>
          <w:rFonts w:hint="eastAsia" w:ascii="仿宋" w:hAnsi="仿宋" w:eastAsia="仿宋" w:cs="仿宋"/>
          <w:szCs w:val="32"/>
          <w:lang w:eastAsia="zh-CN"/>
        </w:rPr>
        <w:t>主动公开</w:t>
      </w:r>
      <w:r>
        <w:rPr>
          <w:rFonts w:hint="eastAsia" w:ascii="仿宋" w:hAnsi="仿宋" w:eastAsia="仿宋" w:cs="仿宋"/>
          <w:szCs w:val="32"/>
        </w:rPr>
        <w:t>）</w:t>
      </w: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sectPr>
          <w:footerReference r:id="rId3" w:type="default"/>
          <w:pgSz w:w="11906" w:h="16838"/>
          <w:pgMar w:top="2098" w:right="1474" w:bottom="1417" w:left="1474" w:header="0" w:footer="708" w:gutter="0"/>
          <w:pgNumType w:fmt="numberInDash" w:start="1"/>
          <w:cols w:space="720" w:num="1"/>
          <w:formProt w:val="0"/>
          <w:docGrid w:linePitch="360" w:charSpace="0"/>
        </w:sectPr>
      </w:pPr>
    </w:p>
    <w:p>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firstLine="0"/>
        <w:jc w:val="center"/>
        <w:textAlignment w:val="auto"/>
        <w:rPr>
          <w:rFonts w:hint="eastAsia" w:ascii="仿宋" w:hAnsi="仿宋" w:eastAsia="仿宋" w:cs="仿宋"/>
          <w:szCs w:val="32"/>
        </w:rPr>
      </w:pPr>
    </w:p>
    <w:p>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firstLine="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福建省脑机接口科技产业发展行动计划</w:t>
      </w:r>
    </w:p>
    <w:p>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firstLine="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（2026—2030年）</w:t>
      </w:r>
    </w:p>
    <w:p>
      <w:pPr>
        <w:keepNext w:val="0"/>
        <w:keepLines w:val="0"/>
        <w:pageBreakBefore w:val="0"/>
        <w:widowControl w:val="0"/>
        <w:kinsoku/>
        <w:wordWrap/>
        <w:overflowPunct/>
        <w:topLinePunct w:val="0"/>
        <w:autoSpaceDE/>
        <w:autoSpaceDN/>
        <w:bidi w:val="0"/>
        <w:adjustRightInd/>
        <w:spacing w:line="600" w:lineRule="exact"/>
        <w:textAlignment w:val="auto"/>
      </w:pP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为抢抓脑机接口技术革命机遇，充分发挥福建“数字中国”策源地、21世纪海上丝绸之路核心区及两岸融合发展示范区等区域优势，</w:t>
      </w:r>
      <w:r>
        <w:rPr>
          <w:rFonts w:hint="eastAsia" w:ascii="仿宋_GB2312" w:hAnsi="仿宋_GB2312" w:eastAsia="仿宋_GB2312" w:cs="仿宋_GB2312"/>
          <w:color w:val="auto"/>
          <w:sz w:val="32"/>
          <w:szCs w:val="32"/>
          <w:lang w:val="en-US" w:eastAsia="zh-CN"/>
        </w:rPr>
        <w:t>促进科技创新和产业创新深度融合，</w:t>
      </w:r>
      <w:r>
        <w:rPr>
          <w:rFonts w:hint="eastAsia" w:ascii="仿宋_GB2312" w:hAnsi="仿宋_GB2312" w:eastAsia="仿宋_GB2312" w:cs="仿宋_GB2312"/>
          <w:color w:val="auto"/>
          <w:sz w:val="32"/>
          <w:szCs w:val="32"/>
        </w:rPr>
        <w:t>加快培育未来产业新动能，制定本行动计划。</w:t>
      </w:r>
    </w:p>
    <w:p>
      <w:pPr>
        <w:pStyle w:val="5"/>
        <w:keepNext w:val="0"/>
        <w:keepLines w:val="0"/>
        <w:pageBreakBefore w:val="0"/>
        <w:widowControl w:val="0"/>
        <w:kinsoku/>
        <w:wordWrap/>
        <w:overflowPunct/>
        <w:topLinePunct w:val="0"/>
        <w:autoSpaceDE/>
        <w:autoSpaceDN/>
        <w:bidi w:val="0"/>
        <w:adjustRightInd/>
        <w:snapToGrid w:val="0"/>
        <w:spacing w:before="0" w:after="0" w:line="600" w:lineRule="exact"/>
        <w:ind w:left="0" w:firstLine="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 xml:space="preserve">  </w:t>
      </w:r>
      <w:r>
        <w:rPr>
          <w:rFonts w:hint="eastAsia" w:ascii="黑体" w:hAnsi="黑体" w:eastAsia="黑体" w:cs="黑体"/>
          <w:b w:val="0"/>
          <w:bCs w:val="0"/>
          <w:color w:val="auto"/>
          <w:sz w:val="32"/>
          <w:szCs w:val="32"/>
        </w:rPr>
        <w:t xml:space="preserve">  一、总体目标 </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坚持创新引领、应用驱动、两岸融合、特色发展路径，构建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基础研究—技术攻关—产品研发—场景应用—产业集聚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全链条生态，打造海峡两岸脑机接口创新合作高地和全国特色应用示范基地，创新发展信号诱发、非线性解码等脑机接口算法关键技术，研制面向多元场景的脑机接口系统，实现从运动控制、脑疾病治疗、虚实交互到情绪、认知、疲劳、睡眠等生理状态的实时监测与闭环调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依托福厦泉</w:t>
      </w:r>
      <w:r>
        <w:rPr>
          <w:rFonts w:hint="eastAsia" w:ascii="仿宋_GB2312" w:hAnsi="仿宋_GB2312" w:eastAsia="仿宋_GB2312" w:cs="仿宋_GB2312"/>
          <w:color w:val="auto"/>
          <w:sz w:val="32"/>
          <w:szCs w:val="32"/>
          <w:lang w:val="en-US" w:eastAsia="zh-CN"/>
        </w:rPr>
        <w:t>国家</w:t>
      </w:r>
      <w:r>
        <w:rPr>
          <w:rFonts w:hint="eastAsia" w:ascii="仿宋_GB2312" w:hAnsi="仿宋_GB2312" w:eastAsia="仿宋_GB2312" w:cs="仿宋_GB2312"/>
          <w:color w:val="auto"/>
          <w:sz w:val="32"/>
          <w:szCs w:val="32"/>
        </w:rPr>
        <w:t>自主创新示范区组织成立科技产业联盟，加大福厦泉自创区专项资金引导支持，大力培育医疗、教育、养老、工业、智能消费等新型脑机接口产业，助力福建省新质生产力发展。</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到2027年，在诱发脑电信号特征增强、神经信号非线性解码算法、高分辨柔性电极等领域突破关键技术，培育5家以上创新型中小企业，建设1个两岸联合实验室和2个省级创新平台，推动脑机接口技术在医疗康复领域的试点应用，</w:t>
      </w:r>
      <w:r>
        <w:rPr>
          <w:rFonts w:hint="eastAsia" w:ascii="仿宋_GB2312" w:hAnsi="仿宋_GB2312" w:eastAsia="仿宋_GB2312" w:cs="仿宋_GB2312"/>
          <w:color w:val="auto"/>
          <w:sz w:val="32"/>
          <w:szCs w:val="32"/>
          <w:lang w:val="en-US" w:eastAsia="zh-CN"/>
        </w:rPr>
        <w:t>推动我省非侵入式产品医疗器械注册</w:t>
      </w:r>
      <w:r>
        <w:rPr>
          <w:rFonts w:hint="eastAsia" w:ascii="仿宋_GB2312" w:hAnsi="仿宋_GB2312" w:eastAsia="仿宋_GB2312" w:cs="仿宋_GB2312"/>
          <w:color w:val="auto"/>
          <w:sz w:val="32"/>
          <w:szCs w:val="32"/>
        </w:rPr>
        <w:t>，开放医疗健康场景。</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到2030年，形成完善的脑机接口产业生态，引育30家脑机接口创新型企业，建设脑机接口科技产业联盟，形成完整的器件制备—信号诱发—算法处理—特征增强—交互应用产业链。实现非侵入式产品临床突破，高性能侵入式电极器件技术突破，推动包括医疗、工业、教育、文旅、养老等多个特色应用场景形成和应用，使产业规模突破30亿元，成为全国脑机接口产业创新发展的重要增长极，促进省内民营企业和医疗康养机构共同发展。</w:t>
      </w:r>
    </w:p>
    <w:p>
      <w:pPr>
        <w:pStyle w:val="5"/>
        <w:keepNext w:val="0"/>
        <w:keepLines w:val="0"/>
        <w:pageBreakBefore w:val="0"/>
        <w:widowControl w:val="0"/>
        <w:kinsoku/>
        <w:wordWrap/>
        <w:overflowPunct/>
        <w:topLinePunct w:val="0"/>
        <w:autoSpaceDE/>
        <w:autoSpaceDN/>
        <w:bidi w:val="0"/>
        <w:adjustRightInd/>
        <w:snapToGrid w:val="0"/>
        <w:spacing w:before="0" w:after="0" w:line="600" w:lineRule="exact"/>
        <w:ind w:left="0" w:right="0" w:firstLine="640"/>
        <w:textAlignment w:val="auto"/>
        <w:rPr>
          <w:rFonts w:hint="eastAsia" w:ascii="黑体" w:hAnsi="黑体" w:eastAsia="黑体" w:cs="黑体"/>
          <w:color w:val="auto"/>
        </w:rPr>
      </w:pPr>
      <w:r>
        <w:rPr>
          <w:rFonts w:hint="eastAsia" w:ascii="黑体" w:hAnsi="黑体" w:eastAsia="黑体" w:cs="黑体"/>
          <w:b w:val="0"/>
          <w:bCs w:val="0"/>
          <w:color w:val="auto"/>
        </w:rPr>
        <w:t>二、重点任务</w:t>
      </w:r>
    </w:p>
    <w:p>
      <w:pPr>
        <w:pStyle w:val="6"/>
        <w:keepNext w:val="0"/>
        <w:keepLines w:val="0"/>
        <w:pageBreakBefore w:val="0"/>
        <w:widowControl w:val="0"/>
        <w:kinsoku/>
        <w:wordWrap/>
        <w:overflowPunct/>
        <w:topLinePunct w:val="0"/>
        <w:autoSpaceDE/>
        <w:autoSpaceDN/>
        <w:bidi w:val="0"/>
        <w:adjustRightInd/>
        <w:snapToGrid w:val="0"/>
        <w:spacing w:before="0" w:after="0" w:line="600" w:lineRule="exact"/>
        <w:ind w:left="0" w:firstLine="0"/>
        <w:textAlignment w:val="auto"/>
        <w:rPr>
          <w:rFonts w:hint="eastAsia" w:ascii="楷体_GB2312" w:hAnsi="楷体_GB2312" w:eastAsia="楷体_GB2312" w:cs="楷体_GB2312"/>
          <w:b w:val="0"/>
          <w:bCs w:val="0"/>
          <w:color w:val="auto"/>
          <w:sz w:val="32"/>
          <w:szCs w:val="32"/>
        </w:rPr>
      </w:pPr>
      <w:r>
        <w:rPr>
          <w:rFonts w:hint="eastAsia" w:ascii="楷体_GB2312" w:hAnsi="楷体_GB2312" w:eastAsia="楷体_GB2312" w:cs="楷体_GB2312"/>
          <w:b w:val="0"/>
          <w:bCs w:val="0"/>
          <w:color w:val="auto"/>
          <w:sz w:val="32"/>
          <w:szCs w:val="32"/>
        </w:rPr>
        <w:t xml:space="preserve">    （一）深耕基础研究，揭示脑机机理</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推进脑科学与类脑技术的基础理论研究。深入解析认知、情绪等脑功能的神经机制，探索意识与衰老的神经基础，阐明大脑功能康复重塑规律，推动脑图谱绘制，攻克类脑神经网络模型以及脑疾病的机制与干预等关键方向，推动低功耗类脑系统研发，加速其在医疗、智能装备等领域的应用落地，构建产学研协同体系，力争基础理论与核心技术的突破性进展，</w:t>
      </w:r>
      <w:r>
        <w:rPr>
          <w:rFonts w:hint="eastAsia" w:ascii="仿宋_GB2312" w:hAnsi="仿宋_GB2312" w:eastAsia="仿宋_GB2312" w:cs="仿宋_GB2312"/>
          <w:color w:val="auto"/>
          <w:sz w:val="32"/>
          <w:szCs w:val="32"/>
          <w:lang w:val="en-US" w:eastAsia="zh-CN"/>
        </w:rPr>
        <w:t>促进</w:t>
      </w:r>
      <w:r>
        <w:rPr>
          <w:rFonts w:hint="eastAsia" w:ascii="仿宋_GB2312" w:hAnsi="仿宋_GB2312" w:eastAsia="仿宋_GB2312" w:cs="仿宋_GB2312"/>
          <w:color w:val="auto"/>
          <w:sz w:val="32"/>
          <w:szCs w:val="32"/>
        </w:rPr>
        <w:t>脑机接口</w:t>
      </w:r>
      <w:r>
        <w:rPr>
          <w:rFonts w:hint="eastAsia" w:ascii="仿宋_GB2312" w:hAnsi="仿宋_GB2312" w:eastAsia="仿宋_GB2312" w:cs="仿宋_GB2312"/>
          <w:color w:val="auto"/>
          <w:sz w:val="32"/>
          <w:szCs w:val="32"/>
          <w:lang w:val="en-US" w:eastAsia="zh-CN"/>
        </w:rPr>
        <w:t>技术</w:t>
      </w:r>
      <w:r>
        <w:rPr>
          <w:rFonts w:hint="eastAsia" w:ascii="仿宋_GB2312" w:hAnsi="仿宋_GB2312" w:eastAsia="仿宋_GB2312" w:cs="仿宋_GB2312"/>
          <w:color w:val="auto"/>
          <w:sz w:val="32"/>
          <w:szCs w:val="32"/>
        </w:rPr>
        <w:t>创新发展。</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聚焦算法基础研究。瞄准脑科学与非线性算法前沿，开展神经信号提取、解码、复杂网络分析、随机共振及脑基础模型等关键算法的机理研究。支持高校、科研院所与企业共建算法基础研究中心，引导支持产学研协同探索非线性算法适配脑机接口的科学原理，为脑机交互信号处理</w:t>
      </w:r>
      <w:r>
        <w:rPr>
          <w:rFonts w:hint="eastAsia" w:ascii="仿宋_GB2312" w:hAnsi="仿宋_GB2312" w:eastAsia="仿宋_GB2312" w:cs="仿宋_GB2312"/>
          <w:color w:val="auto"/>
          <w:sz w:val="32"/>
          <w:szCs w:val="32"/>
          <w:lang w:val="en-US" w:eastAsia="zh-CN"/>
        </w:rPr>
        <w:t>提供</w:t>
      </w:r>
      <w:r>
        <w:rPr>
          <w:rFonts w:hint="eastAsia" w:ascii="仿宋_GB2312" w:hAnsi="仿宋_GB2312" w:eastAsia="仿宋_GB2312" w:cs="仿宋_GB2312"/>
          <w:color w:val="auto"/>
          <w:sz w:val="32"/>
          <w:szCs w:val="32"/>
        </w:rPr>
        <w:t>理论</w:t>
      </w:r>
      <w:r>
        <w:rPr>
          <w:rFonts w:hint="eastAsia" w:ascii="仿宋_GB2312" w:hAnsi="仿宋_GB2312" w:eastAsia="仿宋_GB2312" w:cs="仿宋_GB2312"/>
          <w:color w:val="auto"/>
          <w:sz w:val="32"/>
          <w:szCs w:val="32"/>
          <w:lang w:val="en-US" w:eastAsia="zh-CN"/>
        </w:rPr>
        <w:t>支撑</w:t>
      </w:r>
      <w:r>
        <w:rPr>
          <w:rFonts w:hint="eastAsia" w:ascii="仿宋_GB2312" w:hAnsi="仿宋_GB2312" w:eastAsia="仿宋_GB2312" w:cs="仿宋_GB2312"/>
          <w:color w:val="auto"/>
          <w:sz w:val="32"/>
          <w:szCs w:val="32"/>
        </w:rPr>
        <w:t>。</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3.探究材料与零部件适配脑机接口的底层原理。支持自主研发具有完全知识产权的柔性电极与长效运维仪器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支持高校、科研院所联合企业共建脑机材料与零部件基础研究中心，组织跨学科团队剖析神经电极材料与脑组织的长期兼容性机制，探索电极材料对脑电信号保真度的影响及零部件微观结构对系统性能的作用规律，为材料优化和工艺改进提供科学依据。</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598"/>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（二）强化协同创新，突破核心技术</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1.共建基础研究平台。依托我省高校、</w:t>
      </w:r>
      <w:r>
        <w:rPr>
          <w:rFonts w:hint="eastAsia" w:ascii="仿宋_GB2312" w:hAnsi="仿宋_GB2312" w:eastAsia="仿宋_GB2312" w:cs="仿宋_GB2312"/>
          <w:color w:val="auto"/>
          <w:sz w:val="32"/>
          <w:szCs w:val="32"/>
          <w:lang w:val="en-US" w:eastAsia="zh-CN"/>
        </w:rPr>
        <w:t>医疗机构和相关</w:t>
      </w:r>
      <w:r>
        <w:rPr>
          <w:rFonts w:hint="eastAsia" w:ascii="仿宋_GB2312" w:hAnsi="仿宋_GB2312" w:eastAsia="仿宋_GB2312" w:cs="仿宋_GB2312"/>
          <w:color w:val="auto"/>
          <w:sz w:val="32"/>
          <w:szCs w:val="32"/>
        </w:rPr>
        <w:t>企业等在脑科学领域的科研优势，建设脑电数据</w:t>
      </w:r>
      <w:r>
        <w:rPr>
          <w:rFonts w:hint="eastAsia" w:ascii="仿宋_GB2312" w:hAnsi="仿宋_GB2312" w:eastAsia="仿宋_GB2312" w:cs="仿宋_GB2312"/>
          <w:color w:val="auto"/>
          <w:sz w:val="32"/>
          <w:szCs w:val="32"/>
          <w:lang w:val="en-US" w:eastAsia="zh-CN"/>
        </w:rPr>
        <w:t>共享平台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联合台湾科研机构、企业在神经科学</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rPr>
        <w:t>方面的研究实力，创建两岸脑机接口科技与产业相结合的联合实验室</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开展脑感知诱发</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神经环路解析、非线性特征增强等脑科学基础研究，探索脑与人体器官、机器设备、外部环境间动态交互与感知反馈机制，研究重大脑疾病发病机理与干预技术。</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2.突破关键核心技术。重点攻关脑信号强化诱发采集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抗干扰神经信号非线性解码算法、非线性多模态信号特征增强融合、脑肌电信号融合、生物相容性电极材料、高稳定性的高分辨刺激/采集双向交互柔性纤维电极阵列、多功能智能微导管、主动式干电极等技术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突破</w:t>
      </w:r>
      <w:r>
        <w:rPr>
          <w:rFonts w:hint="eastAsia" w:ascii="仿宋_GB2312" w:hAnsi="仿宋_GB2312" w:eastAsia="仿宋_GB2312" w:cs="仿宋_GB2312"/>
          <w:color w:val="auto"/>
          <w:sz w:val="32"/>
          <w:szCs w:val="32"/>
          <w:lang w:val="en-US" w:eastAsia="zh-CN"/>
        </w:rPr>
        <w:t>脑机接口</w:t>
      </w:r>
      <w:r>
        <w:rPr>
          <w:rFonts w:hint="eastAsia" w:ascii="仿宋_GB2312" w:hAnsi="仿宋_GB2312" w:eastAsia="仿宋_GB2312" w:cs="仿宋_GB2312"/>
          <w:color w:val="auto"/>
          <w:sz w:val="32"/>
          <w:szCs w:val="32"/>
        </w:rPr>
        <w:t>技术</w:t>
      </w:r>
      <w:r>
        <w:rPr>
          <w:rFonts w:hint="eastAsia" w:ascii="仿宋_GB2312" w:hAnsi="仿宋_GB2312" w:eastAsia="仿宋_GB2312" w:cs="仿宋_GB2312"/>
          <w:color w:val="auto"/>
          <w:sz w:val="32"/>
          <w:szCs w:val="32"/>
          <w:lang w:val="en-US" w:eastAsia="zh-CN"/>
        </w:rPr>
        <w:t>瓶颈</w:t>
      </w:r>
      <w:r>
        <w:rPr>
          <w:rFonts w:hint="eastAsia" w:ascii="仿宋_GB2312" w:hAnsi="仿宋_GB2312" w:eastAsia="仿宋_GB2312" w:cs="仿宋_GB2312"/>
          <w:color w:val="auto"/>
          <w:sz w:val="32"/>
          <w:szCs w:val="32"/>
        </w:rPr>
        <w:t xml:space="preserve">。 </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3.推动脑机接口临床研究。强化省级脑及神经临床医学研究中心功能，支持</w:t>
      </w:r>
      <w:r>
        <w:rPr>
          <w:rFonts w:hint="eastAsia" w:ascii="仿宋_GB2312" w:hAnsi="仿宋_GB2312" w:eastAsia="仿宋_GB2312" w:cs="仿宋_GB2312"/>
          <w:color w:val="auto"/>
          <w:sz w:val="32"/>
          <w:szCs w:val="32"/>
          <w:lang w:val="en-US" w:eastAsia="zh-CN"/>
        </w:rPr>
        <w:t>发挥</w:t>
      </w:r>
      <w:r>
        <w:rPr>
          <w:rFonts w:hint="eastAsia" w:ascii="仿宋_GB2312" w:hAnsi="仿宋_GB2312" w:eastAsia="仿宋_GB2312" w:cs="仿宋_GB2312"/>
          <w:color w:val="auto"/>
          <w:sz w:val="32"/>
          <w:szCs w:val="32"/>
        </w:rPr>
        <w:t>其在脑机接口临床研究中的</w:t>
      </w:r>
      <w:r>
        <w:rPr>
          <w:rFonts w:hint="eastAsia" w:ascii="仿宋_GB2312" w:hAnsi="仿宋_GB2312" w:eastAsia="仿宋_GB2312" w:cs="仿宋_GB2312"/>
          <w:color w:val="auto"/>
          <w:sz w:val="32"/>
          <w:szCs w:val="32"/>
          <w:lang w:val="en-US" w:eastAsia="zh-CN"/>
        </w:rPr>
        <w:t>重要</w:t>
      </w:r>
      <w:r>
        <w:rPr>
          <w:rFonts w:hint="eastAsia" w:ascii="仿宋_GB2312" w:hAnsi="仿宋_GB2312" w:eastAsia="仿宋_GB2312" w:cs="仿宋_GB2312"/>
          <w:color w:val="auto"/>
          <w:sz w:val="32"/>
          <w:szCs w:val="32"/>
        </w:rPr>
        <w:t>作用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支持</w:t>
      </w:r>
      <w:r>
        <w:rPr>
          <w:rFonts w:hint="eastAsia" w:ascii="仿宋_GB2312" w:hAnsi="仿宋_GB2312" w:eastAsia="仿宋_GB2312" w:cs="仿宋_GB2312"/>
          <w:color w:val="auto"/>
          <w:sz w:val="32"/>
          <w:szCs w:val="32"/>
          <w:lang w:val="en-US" w:eastAsia="zh-CN"/>
        </w:rPr>
        <w:t>高校、</w:t>
      </w:r>
      <w:r>
        <w:rPr>
          <w:rFonts w:hint="eastAsia" w:ascii="仿宋_GB2312" w:hAnsi="仿宋_GB2312" w:eastAsia="仿宋_GB2312" w:cs="仿宋_GB2312"/>
          <w:color w:val="auto"/>
          <w:sz w:val="32"/>
          <w:szCs w:val="32"/>
        </w:rPr>
        <w:t>三级甲等医院建设脑机接口临床试验基地，设立脑机接口临床研究病房及脑机接口实验基地，建立临床试验预备队列，完善脑机接口临床评价体系、临床伦理标准和相关管理制度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支持企业开展脑机接口产品临床试验。</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4.发展特色技术路径。聚焦康复产业优势，</w:t>
      </w:r>
      <w:r>
        <w:rPr>
          <w:rFonts w:hint="eastAsia" w:ascii="仿宋_GB2312" w:hAnsi="仿宋_GB2312" w:eastAsia="仿宋_GB2312" w:cs="仿宋_GB2312"/>
          <w:color w:val="auto"/>
          <w:sz w:val="32"/>
          <w:szCs w:val="32"/>
          <w:lang w:bidi="ar"/>
        </w:rPr>
        <w:t>重点</w:t>
      </w:r>
      <w:r>
        <w:rPr>
          <w:rFonts w:hint="eastAsia" w:ascii="仿宋_GB2312" w:hAnsi="仿宋_GB2312" w:eastAsia="仿宋_GB2312" w:cs="仿宋_GB2312"/>
          <w:color w:val="auto"/>
          <w:sz w:val="32"/>
          <w:szCs w:val="32"/>
          <w:lang w:val="en-US" w:eastAsia="zh-CN" w:bidi="ar"/>
        </w:rPr>
        <w:t>推进</w:t>
      </w:r>
      <w:r>
        <w:rPr>
          <w:rFonts w:hint="eastAsia" w:ascii="仿宋_GB2312" w:hAnsi="仿宋_GB2312" w:eastAsia="仿宋_GB2312" w:cs="仿宋_GB2312"/>
          <w:color w:val="auto"/>
          <w:sz w:val="32"/>
          <w:szCs w:val="32"/>
        </w:rPr>
        <w:t>脑机接口在精准康复评定、闭环神经调控训练、老年功能退化延缓等方面的优势技术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发挥福建民营企业优势，加强脑机接口技术创新和企业需求对接交流，推动技术成果转化，促进产学研用深度融合。</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（三）培育特色产品体系，推动产业集聚</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1.研发医疗康复及诊疗产品。聚焦脑卒中、脊髓损伤、抑郁症、孤独症及神经变性疾病等所致功能障碍，重点研制具有自主知识产权的脑机接口康复装备，如脑控康复机器人</w:t>
      </w:r>
      <w:r>
        <w:rPr>
          <w:rFonts w:hint="eastAsia" w:ascii="仿宋_GB2312" w:hAnsi="仿宋_GB2312" w:eastAsia="仿宋_GB2312" w:cs="仿宋_GB2312"/>
          <w:color w:val="auto"/>
          <w:sz w:val="32"/>
          <w:szCs w:val="32"/>
          <w:lang w:val="en-US" w:eastAsia="zh-CN"/>
        </w:rPr>
        <w:t>、脑机接口肢体康复训练设备、</w:t>
      </w:r>
      <w:r>
        <w:rPr>
          <w:rFonts w:hint="eastAsia" w:ascii="仿宋_GB2312" w:hAnsi="仿宋_GB2312" w:eastAsia="仿宋_GB2312" w:cs="仿宋_GB2312"/>
          <w:color w:val="auto"/>
          <w:sz w:val="32"/>
          <w:szCs w:val="32"/>
        </w:rPr>
        <w:t>脑控康复轮椅、脑机辅助治疗系统、</w:t>
      </w:r>
      <w:r>
        <w:rPr>
          <w:rFonts w:hint="eastAsia" w:ascii="仿宋_GB2312" w:hAnsi="仿宋_GB2312" w:eastAsia="仿宋_GB2312" w:cs="仿宋_GB2312"/>
          <w:color w:val="auto"/>
          <w:sz w:val="32"/>
          <w:szCs w:val="32"/>
          <w:lang w:val="en-US" w:eastAsia="zh-CN"/>
        </w:rPr>
        <w:t>A</w:t>
      </w:r>
      <w:r>
        <w:rPr>
          <w:rFonts w:hint="eastAsia" w:ascii="仿宋_GB2312" w:hAnsi="仿宋_GB2312" w:eastAsia="仿宋_GB2312" w:cs="仿宋_GB2312"/>
          <w:color w:val="auto"/>
          <w:sz w:val="32"/>
          <w:szCs w:val="32"/>
        </w:rPr>
        <w:t>R</w:t>
      </w:r>
      <w:r>
        <w:rPr>
          <w:rFonts w:hint="eastAsia" w:ascii="仿宋_GB2312" w:hAnsi="仿宋_GB2312" w:eastAsia="仿宋_GB2312" w:cs="仿宋_GB2312"/>
          <w:color w:val="auto"/>
          <w:sz w:val="32"/>
          <w:szCs w:val="32"/>
          <w:lang w:val="en-US" w:eastAsia="zh-CN"/>
        </w:rPr>
        <w:t>/VR</w:t>
      </w:r>
      <w:r>
        <w:rPr>
          <w:rFonts w:hint="eastAsia" w:ascii="仿宋_GB2312" w:hAnsi="仿宋_GB2312" w:eastAsia="仿宋_GB2312" w:cs="仿宋_GB2312"/>
          <w:color w:val="auto"/>
          <w:sz w:val="32"/>
          <w:szCs w:val="32"/>
        </w:rPr>
        <w:t>术后康复设备等。加速产品注册及应用推广，</w:t>
      </w:r>
      <w:r>
        <w:rPr>
          <w:rFonts w:hint="eastAsia" w:ascii="仿宋_GB2312" w:hAnsi="仿宋_GB2312" w:eastAsia="仿宋_GB2312" w:cs="仿宋_GB2312"/>
          <w:color w:val="auto"/>
          <w:sz w:val="32"/>
          <w:szCs w:val="32"/>
          <w:lang w:val="en-US" w:eastAsia="zh-CN"/>
        </w:rPr>
        <w:t>助力</w:t>
      </w:r>
      <w:r>
        <w:rPr>
          <w:rFonts w:hint="eastAsia" w:ascii="仿宋_GB2312" w:hAnsi="仿宋_GB2312" w:eastAsia="仿宋_GB2312" w:cs="仿宋_GB2312"/>
          <w:color w:val="auto"/>
          <w:sz w:val="32"/>
          <w:szCs w:val="32"/>
        </w:rPr>
        <w:t>企业扩大生产规模和市场推广。</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2.打造工业特种装备。面向智慧交通、特种作业车辆、智能制造等领域，开发脑控远程操作机械臂、开发脑控无人机探测辅助设备、脑机智能座舱</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支持企业开展应用试点。</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建设产业集聚区。依托福厦泉自主创新示范区和有条件的高新区，推动建设脑机接口产业园区，引导吸引科创基金、产业引导基金等加大融资支持，吸引两岸企业入驻，形成优势互补、协同发展的脑机接口特色产业链。</w:t>
      </w:r>
    </w:p>
    <w:p>
      <w:pPr>
        <w:pStyle w:val="6"/>
        <w:keepNext w:val="0"/>
        <w:keepLines w:val="0"/>
        <w:pageBreakBefore w:val="0"/>
        <w:widowControl w:val="0"/>
        <w:kinsoku/>
        <w:wordWrap/>
        <w:overflowPunct/>
        <w:topLinePunct w:val="0"/>
        <w:autoSpaceDE/>
        <w:autoSpaceDN/>
        <w:bidi w:val="0"/>
        <w:adjustRightInd/>
        <w:snapToGrid w:val="0"/>
        <w:spacing w:before="0" w:after="0" w:line="600" w:lineRule="exact"/>
        <w:ind w:left="0" w:firstLine="0"/>
        <w:textAlignment w:val="auto"/>
        <w:rPr>
          <w:rFonts w:hint="eastAsia" w:ascii="楷体_GB2312" w:hAnsi="楷体_GB2312" w:eastAsia="楷体_GB2312" w:cs="楷体_GB2312"/>
          <w:b w:val="0"/>
          <w:bCs w:val="0"/>
          <w:color w:val="auto"/>
          <w:sz w:val="32"/>
          <w:szCs w:val="32"/>
        </w:rPr>
      </w:pPr>
      <w:r>
        <w:rPr>
          <w:rFonts w:hint="eastAsia" w:ascii="楷体_GB2312" w:hAnsi="楷体_GB2312" w:eastAsia="楷体_GB2312" w:cs="楷体_GB2312"/>
          <w:color w:val="auto"/>
          <w:sz w:val="32"/>
          <w:szCs w:val="32"/>
        </w:rPr>
        <w:t xml:space="preserve">    </w:t>
      </w:r>
      <w:r>
        <w:rPr>
          <w:rFonts w:hint="eastAsia" w:ascii="楷体_GB2312" w:hAnsi="楷体_GB2312" w:eastAsia="楷体_GB2312" w:cs="楷体_GB2312"/>
          <w:b w:val="0"/>
          <w:bCs w:val="0"/>
          <w:color w:val="auto"/>
          <w:sz w:val="32"/>
          <w:szCs w:val="32"/>
        </w:rPr>
        <w:t>（四）拓展特色应用场景，促进产业融合</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医疗健康场景：以医疗机构为载体，联动医药企业、高等院校深化产学研协同合作，构建预防—诊断—治疗—康复全周期应用体系，推广非侵入式脑机接口康复治疗项目，针对脑卒中患者打造精准康复评估+脑控外骨骼训练闭环系统，并建立5个康复示范中心。开发基于脑电信号的功能评估设备，实现功能评估与脑功能状态的精准关联。开</w:t>
      </w:r>
      <w:r>
        <w:rPr>
          <w:rFonts w:hint="eastAsia" w:ascii="仿宋_GB2312" w:hAnsi="仿宋_GB2312" w:eastAsia="仿宋_GB2312" w:cs="仿宋_GB2312"/>
          <w:color w:val="auto"/>
          <w:sz w:val="32"/>
          <w:szCs w:val="32"/>
          <w:lang w:val="en-US" w:eastAsia="zh-CN"/>
        </w:rPr>
        <w:t>发</w:t>
      </w:r>
      <w:r>
        <w:rPr>
          <w:rFonts w:hint="eastAsia" w:ascii="仿宋_GB2312" w:hAnsi="仿宋_GB2312" w:eastAsia="仿宋_GB2312" w:cs="仿宋_GB2312"/>
          <w:color w:val="auto"/>
          <w:sz w:val="32"/>
          <w:szCs w:val="32"/>
        </w:rPr>
        <w:t>脑控辅助与康复系统，助力残疾人的正常生活需求，同时强化闭环非侵入式神经调控的临床应用，进一步推动建设神经退行性疾病脑机接口诊疗中心。面向孤独症儿童早期筛查与干预，研发具有完全自主知识产权的脑控具身智能机器人系统</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打造集科研攻关、临床验证与康复服务于一体的全国特色孤独症康复训练示范区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依托</w:t>
      </w:r>
      <w:r>
        <w:rPr>
          <w:rFonts w:hint="eastAsia" w:ascii="仿宋_GB2312" w:hAnsi="仿宋_GB2312" w:eastAsia="仿宋_GB2312" w:cs="仿宋_GB2312"/>
          <w:color w:val="auto"/>
          <w:sz w:val="32"/>
          <w:szCs w:val="32"/>
          <w:lang w:val="en-US" w:eastAsia="zh-CN"/>
        </w:rPr>
        <w:t>三级甲等</w:t>
      </w:r>
      <w:r>
        <w:rPr>
          <w:rFonts w:hint="eastAsia" w:ascii="仿宋_GB2312" w:hAnsi="仿宋_GB2312" w:eastAsia="仿宋_GB2312" w:cs="仿宋_GB2312"/>
          <w:color w:val="auto"/>
          <w:sz w:val="32"/>
          <w:szCs w:val="32"/>
        </w:rPr>
        <w:t>医院，开发康复医疗等领域的脑机接口虚拟实训系统，缩短实操培训周期并降低培训成本。</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2.工业制</w:t>
      </w:r>
      <w:r>
        <w:rPr>
          <w:rFonts w:hint="eastAsia" w:ascii="仿宋_GB2312" w:hAnsi="仿宋_GB2312" w:eastAsia="仿宋_GB2312" w:cs="仿宋_GB2312"/>
          <w:color w:val="auto"/>
          <w:sz w:val="32"/>
          <w:szCs w:val="32"/>
          <w:lang w:val="en-US" w:eastAsia="zh-CN"/>
        </w:rPr>
        <w:t>造</w:t>
      </w:r>
      <w:r>
        <w:rPr>
          <w:rFonts w:hint="eastAsia" w:ascii="仿宋_GB2312" w:hAnsi="仿宋_GB2312" w:eastAsia="仿宋_GB2312" w:cs="仿宋_GB2312"/>
          <w:color w:val="auto"/>
          <w:sz w:val="32"/>
          <w:szCs w:val="32"/>
        </w:rPr>
        <w:t>场景：聚焦高端制造与安全生产需求，支持探索建设脑控机器人示范车间，通过脑机接口实现远程精密操作，降低高空作业风险，提升生产效率；</w:t>
      </w:r>
      <w:r>
        <w:rPr>
          <w:rFonts w:hint="eastAsia" w:ascii="仿宋_GB2312" w:hAnsi="仿宋_GB2312" w:eastAsia="仿宋_GB2312" w:cs="仿宋_GB2312"/>
          <w:color w:val="auto"/>
          <w:sz w:val="32"/>
          <w:szCs w:val="32"/>
          <w:lang w:val="en-US" w:eastAsia="zh-CN"/>
        </w:rPr>
        <w:t>应用脑机交互技术优化生产线质检流程，开发脑电注意力监测+AI产品缺陷识别系统，实现安全、高效生产；</w:t>
      </w:r>
      <w:r>
        <w:rPr>
          <w:rFonts w:hint="eastAsia" w:ascii="仿宋_GB2312" w:hAnsi="仿宋_GB2312" w:eastAsia="仿宋_GB2312" w:cs="仿宋_GB2312"/>
          <w:color w:val="auto"/>
          <w:sz w:val="32"/>
          <w:szCs w:val="32"/>
        </w:rPr>
        <w:t>针对</w:t>
      </w:r>
      <w:r>
        <w:rPr>
          <w:rFonts w:hint="eastAsia" w:ascii="仿宋_GB2312" w:hAnsi="仿宋_GB2312" w:eastAsia="仿宋_GB2312" w:cs="仿宋_GB2312"/>
          <w:color w:val="auto"/>
          <w:sz w:val="32"/>
          <w:szCs w:val="32"/>
          <w:lang w:val="en-US" w:eastAsia="zh-CN"/>
        </w:rPr>
        <w:t>危化品</w:t>
      </w:r>
      <w:r>
        <w:rPr>
          <w:rFonts w:hint="eastAsia" w:ascii="仿宋_GB2312" w:hAnsi="仿宋_GB2312" w:eastAsia="仿宋_GB2312" w:cs="仿宋_GB2312"/>
          <w:color w:val="auto"/>
          <w:sz w:val="32"/>
          <w:szCs w:val="32"/>
        </w:rPr>
        <w:t>、矿山等高危行业，开发脑机接口疲劳监测设备，实现实时预警与应急干预。探索拓展脑电神经感官评价技术在食品工业领域应用场景。</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3.教育培训场景：面向基础教育、特殊教育需要，开发面向中小学的脑机接口注意力训练系统，通过脑电信号分析实现个性化教学调节，建立学生认知发展评估模型</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探索脑机接口在特殊教育中的应用，</w:t>
      </w:r>
      <w:r>
        <w:rPr>
          <w:rFonts w:hint="eastAsia" w:ascii="仿宋_GB2312" w:hAnsi="仿宋_GB2312" w:eastAsia="仿宋_GB2312" w:cs="仿宋_GB2312"/>
          <w:color w:val="auto"/>
          <w:sz w:val="32"/>
          <w:szCs w:val="32"/>
          <w:lang w:val="en-US" w:eastAsia="zh-CN"/>
        </w:rPr>
        <w:t>面向</w:t>
      </w:r>
      <w:r>
        <w:rPr>
          <w:rFonts w:hint="eastAsia" w:ascii="仿宋_GB2312" w:hAnsi="仿宋_GB2312" w:eastAsia="仿宋_GB2312" w:cs="仿宋_GB2312"/>
          <w:color w:val="auto"/>
          <w:sz w:val="32"/>
          <w:szCs w:val="32"/>
        </w:rPr>
        <w:t>孤独症儿童、残障</w:t>
      </w:r>
      <w:r>
        <w:rPr>
          <w:rFonts w:hint="eastAsia" w:ascii="仿宋_GB2312" w:hAnsi="仿宋_GB2312" w:eastAsia="仿宋_GB2312" w:cs="仿宋_GB2312"/>
          <w:color w:val="auto"/>
          <w:sz w:val="32"/>
          <w:szCs w:val="32"/>
          <w:lang w:val="en-US" w:eastAsia="zh-CN"/>
        </w:rPr>
        <w:t>群体</w:t>
      </w:r>
      <w:r>
        <w:rPr>
          <w:rFonts w:hint="eastAsia" w:ascii="仿宋_GB2312" w:hAnsi="仿宋_GB2312" w:eastAsia="仿宋_GB2312" w:cs="仿宋_GB2312"/>
          <w:color w:val="auto"/>
          <w:sz w:val="32"/>
          <w:szCs w:val="32"/>
        </w:rPr>
        <w:t>开发社交、培训训练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支持服务系统</w:t>
      </w:r>
      <w:r>
        <w:rPr>
          <w:rFonts w:hint="eastAsia" w:ascii="仿宋_GB2312" w:hAnsi="仿宋_GB2312" w:eastAsia="仿宋_GB2312" w:cs="仿宋_GB2312"/>
          <w:color w:val="auto"/>
          <w:sz w:val="32"/>
          <w:szCs w:val="32"/>
        </w:rPr>
        <w:t>设备。</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highlight w:val="magenta"/>
        </w:rPr>
      </w:pPr>
      <w:r>
        <w:rPr>
          <w:rFonts w:hint="eastAsia" w:ascii="仿宋_GB2312" w:hAnsi="仿宋_GB2312" w:eastAsia="仿宋_GB2312" w:cs="仿宋_GB2312"/>
          <w:color w:val="auto"/>
          <w:sz w:val="32"/>
          <w:szCs w:val="32"/>
        </w:rPr>
        <w:t>4.养老服务场景：打造智慧照护+情感陪伴特色模式，开发脑机接口辅助生活系统，为失能老人提供脑控家居设备，实现日常生活活动辅助、失语沟通、认知早筛、情绪照护等功能</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结合福建社区养老特色，开发适老化脑机交互终端，联动社区卫生服务中心建立脑健康—慢病管理联动机制，通过融合脑电特征与多模态体征数据，实现对异常生理信号的实时监测与风险预警。支持企业与台湾机构合作，引入先进照护理念，开发两岸共通的养老服务脑机接口产品。</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5.文化娱乐场景：融合数字文创与特色文旅资源，打造脑控沉浸式体验项目，开发脑机交互电竞综艺等；开发脑控创意设计系统，辅助非遗文化实现创意的快速数字化呈现，推动传统文创与科技融合。</w:t>
      </w:r>
    </w:p>
    <w:p>
      <w:pPr>
        <w:pStyle w:val="6"/>
        <w:keepNext w:val="0"/>
        <w:keepLines w:val="0"/>
        <w:pageBreakBefore w:val="0"/>
        <w:widowControl w:val="0"/>
        <w:kinsoku/>
        <w:wordWrap/>
        <w:overflowPunct/>
        <w:topLinePunct w:val="0"/>
        <w:autoSpaceDE/>
        <w:autoSpaceDN/>
        <w:bidi w:val="0"/>
        <w:adjustRightInd/>
        <w:snapToGrid w:val="0"/>
        <w:spacing w:before="0" w:after="0" w:line="600" w:lineRule="exact"/>
        <w:ind w:left="0" w:right="0" w:firstLine="640"/>
        <w:textAlignment w:val="auto"/>
        <w:rPr>
          <w:rFonts w:hint="eastAsia" w:ascii="楷体_GB2312" w:hAnsi="楷体_GB2312" w:eastAsia="楷体_GB2312" w:cs="楷体_GB2312"/>
          <w:b w:val="0"/>
          <w:bCs w:val="0"/>
          <w:color w:val="auto"/>
          <w:sz w:val="32"/>
          <w:szCs w:val="32"/>
        </w:rPr>
      </w:pPr>
      <w:r>
        <w:rPr>
          <w:rFonts w:hint="eastAsia" w:ascii="楷体_GB2312" w:hAnsi="楷体_GB2312" w:eastAsia="楷体_GB2312" w:cs="楷体_GB2312"/>
          <w:b w:val="0"/>
          <w:bCs w:val="0"/>
          <w:color w:val="auto"/>
          <w:sz w:val="32"/>
          <w:szCs w:val="32"/>
        </w:rPr>
        <w:t>（五）构建产业支撑体系，优化发展环境</w:t>
      </w:r>
    </w:p>
    <w:p>
      <w:pPr>
        <w:pStyle w:val="23"/>
        <w:keepNext w:val="0"/>
        <w:keepLines w:val="0"/>
        <w:pageBreakBefore w:val="0"/>
        <w:widowControl w:val="0"/>
        <w:numPr>
          <w:ilvl w:val="0"/>
          <w:numId w:val="1"/>
        </w:numPr>
        <w:kinsoku/>
        <w:wordWrap/>
        <w:overflowPunct/>
        <w:topLinePunct w:val="0"/>
        <w:autoSpaceDE/>
        <w:autoSpaceDN/>
        <w:bidi w:val="0"/>
        <w:adjustRightInd/>
        <w:snapToGrid w:val="0"/>
        <w:spacing w:before="0" w:after="0" w:line="600" w:lineRule="exact"/>
        <w:ind w:left="0"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建设公共服务平台。</w:t>
      </w:r>
      <w:r>
        <w:rPr>
          <w:rFonts w:hint="eastAsia" w:ascii="仿宋_GB2312" w:hAnsi="仿宋_GB2312" w:eastAsia="仿宋_GB2312" w:cs="仿宋_GB2312"/>
          <w:color w:val="auto"/>
          <w:sz w:val="32"/>
          <w:szCs w:val="32"/>
          <w:lang w:val="en-US" w:eastAsia="zh-CN"/>
        </w:rPr>
        <w:t>推动</w:t>
      </w:r>
      <w:r>
        <w:rPr>
          <w:rFonts w:hint="eastAsia" w:ascii="仿宋_GB2312" w:hAnsi="仿宋_GB2312" w:eastAsia="仿宋_GB2312" w:cs="仿宋_GB2312"/>
          <w:color w:val="auto"/>
          <w:sz w:val="32"/>
          <w:szCs w:val="32"/>
        </w:rPr>
        <w:t>脑机接口医疗器械检验检测中心建设，提供注册检测、临床试验指导等服务。建设脑机接口数据共享平台，促进多中心数据融合应用，建立数据共享机制和安全保障体系，实现科研机构、企业之间的数据共享与交流。建设脑机接口相关</w:t>
      </w:r>
      <w:r>
        <w:rPr>
          <w:rFonts w:hint="eastAsia" w:ascii="仿宋_GB2312" w:hAnsi="仿宋_GB2312" w:eastAsia="仿宋_GB2312" w:cs="仿宋_GB2312"/>
          <w:color w:val="auto"/>
          <w:sz w:val="32"/>
          <w:szCs w:val="32"/>
          <w:lang w:val="en-US" w:eastAsia="zh-CN"/>
        </w:rPr>
        <w:t>概念论证</w:t>
      </w:r>
      <w:r>
        <w:rPr>
          <w:rFonts w:hint="eastAsia" w:ascii="仿宋_GB2312" w:hAnsi="仿宋_GB2312" w:eastAsia="仿宋_GB2312" w:cs="仿宋_GB2312"/>
          <w:color w:val="auto"/>
          <w:sz w:val="32"/>
          <w:szCs w:val="32"/>
        </w:rPr>
        <w:t>中心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产业技术研发公共服务等平台</w:t>
      </w:r>
      <w:r>
        <w:rPr>
          <w:rFonts w:hint="eastAsia" w:ascii="仿宋_GB2312" w:hAnsi="仿宋_GB2312" w:eastAsia="仿宋_GB2312" w:cs="仿宋_GB2312"/>
          <w:color w:val="auto"/>
          <w:sz w:val="32"/>
          <w:szCs w:val="32"/>
        </w:rPr>
        <w:t>，构建技术研发-工程转化-场景验证-产业推广一体化创新链条。</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2.强化企业培育。梯度培育一批专注于脑机接口细分领域的专精特新中小企业、高新技术企业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鼓励闽台在脑机接口领域开展联合研发与企业孵化合作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夯实产业发展载体。</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培育专业人才队伍。聚焦脑机接口医疗应用领域人才缺口，常态化推进医工交叉人才培育工作，鼓励医护人员参与智能医疗技术研发，支持工科人才深入临床场景深耕应用落地，构建多层次、专业化的医工交叉人才梯队，为脑机接口医疗场景产业化、规模化发展提供坚实人才支撑。引进海内外高层次人才，支持与企业联合培养复合型人才，建立校企合作实训基地。建立脑机接口临床应用培训体系，同时加强科普教育。</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4.加强多学科协同。支持企业、科研机构</w:t>
      </w:r>
      <w:r>
        <w:rPr>
          <w:rFonts w:hint="eastAsia" w:ascii="仿宋_GB2312" w:hAnsi="仿宋_GB2312" w:eastAsia="仿宋_GB2312" w:cs="仿宋_GB2312"/>
          <w:color w:val="auto"/>
          <w:sz w:val="32"/>
          <w:szCs w:val="32"/>
          <w:lang w:val="en-US" w:eastAsia="zh-CN"/>
        </w:rPr>
        <w:t>成立</w:t>
      </w:r>
      <w:r>
        <w:rPr>
          <w:rFonts w:hint="eastAsia" w:ascii="仿宋_GB2312" w:hAnsi="仿宋_GB2312" w:eastAsia="仿宋_GB2312" w:cs="仿宋_GB2312"/>
          <w:color w:val="auto"/>
          <w:sz w:val="32"/>
          <w:szCs w:val="32"/>
        </w:rPr>
        <w:t>脑机接口科技产业</w:t>
      </w:r>
      <w:r>
        <w:rPr>
          <w:rFonts w:hint="eastAsia" w:ascii="仿宋_GB2312" w:hAnsi="仿宋_GB2312" w:eastAsia="仿宋_GB2312" w:cs="仿宋_GB2312"/>
          <w:color w:val="auto"/>
          <w:sz w:val="32"/>
          <w:szCs w:val="32"/>
          <w:lang w:val="en-US" w:eastAsia="zh-CN"/>
        </w:rPr>
        <w:t>联盟，组织研讨交流，促进康复、临床、工程、材料、信息安全、法学等多学</w:t>
      </w:r>
      <w:r>
        <w:rPr>
          <w:rFonts w:hint="eastAsia" w:ascii="仿宋_GB2312" w:hAnsi="仿宋_GB2312" w:eastAsia="仿宋_GB2312" w:cs="仿宋_GB2312"/>
          <w:color w:val="auto"/>
          <w:sz w:val="32"/>
          <w:szCs w:val="32"/>
        </w:rPr>
        <w:t>科协同。</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5.完善标准伦理规范。制定脑机接口相关技术标准，包括脑机接口设备的技术要求、检测方法、安全规范等，推进与国际标准接轨。强化伦理审查责任，规范脑机接口技术应用，保障数据安全和隐私保护。</w:t>
      </w:r>
    </w:p>
    <w:p>
      <w:pPr>
        <w:pStyle w:val="5"/>
        <w:keepNext w:val="0"/>
        <w:keepLines w:val="0"/>
        <w:pageBreakBefore w:val="0"/>
        <w:widowControl w:val="0"/>
        <w:kinsoku/>
        <w:wordWrap/>
        <w:overflowPunct/>
        <w:topLinePunct w:val="0"/>
        <w:autoSpaceDE/>
        <w:autoSpaceDN/>
        <w:bidi w:val="0"/>
        <w:adjustRightInd/>
        <w:snapToGrid w:val="0"/>
        <w:spacing w:before="0" w:after="0" w:line="600" w:lineRule="exact"/>
        <w:ind w:left="0" w:right="0" w:firstLine="642"/>
        <w:textAlignment w:val="auto"/>
        <w:rPr>
          <w:rFonts w:hint="eastAsia" w:ascii="黑体" w:hAnsi="黑体" w:eastAsia="黑体" w:cs="黑体"/>
          <w:b w:val="0"/>
          <w:bCs w:val="0"/>
          <w:color w:val="auto"/>
        </w:rPr>
      </w:pPr>
      <w:r>
        <w:rPr>
          <w:rFonts w:hint="eastAsia" w:ascii="黑体" w:hAnsi="黑体" w:eastAsia="黑体" w:cs="黑体"/>
          <w:b w:val="0"/>
          <w:bCs w:val="0"/>
          <w:color w:val="auto"/>
        </w:rPr>
        <w:t>三、保障措施</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（一）加强组织协调</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各级</w:t>
      </w:r>
      <w:r>
        <w:rPr>
          <w:rFonts w:hint="eastAsia" w:ascii="仿宋_GB2312" w:hAnsi="仿宋_GB2312" w:eastAsia="仿宋_GB2312" w:cs="仿宋_GB2312"/>
          <w:color w:val="auto"/>
          <w:sz w:val="32"/>
          <w:szCs w:val="32"/>
        </w:rPr>
        <w:t>科技、发改、工信、卫健、药监、数据管理等部门和福厦泉自主创新示范区、相关高新区等</w:t>
      </w:r>
      <w:r>
        <w:rPr>
          <w:rFonts w:hint="eastAsia" w:ascii="仿宋_GB2312" w:hAnsi="仿宋_GB2312" w:eastAsia="仿宋_GB2312" w:cs="仿宋_GB2312"/>
          <w:color w:val="auto"/>
          <w:sz w:val="32"/>
          <w:szCs w:val="32"/>
          <w:lang w:val="en-US" w:eastAsia="zh-CN"/>
        </w:rPr>
        <w:t>立足职责</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因地制宜，</w:t>
      </w:r>
      <w:r>
        <w:rPr>
          <w:rFonts w:hint="eastAsia" w:ascii="仿宋_GB2312" w:hAnsi="仿宋_GB2312" w:eastAsia="仿宋_GB2312" w:cs="仿宋_GB2312"/>
          <w:color w:val="auto"/>
          <w:sz w:val="32"/>
          <w:szCs w:val="32"/>
        </w:rPr>
        <w:t>落实省委科技委工作部署，统筹资源，强化目标管理，协同推进工作，确保各项任务落实。成立专家组，加强对科研和产业重点方向谋划和重大项目咨询论证，提出政策建议。</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（二）加大政策支持</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整合部门资金，加大脑机接口科技产业发展支持。加强脑科学领域应用基础研究和脑机接口应用技术攻关，组织实施科技重大专项，加快形成重大标志性成果。积极支持企业享受研发费用加计扣除、首台套保险补贴等政策。</w:t>
      </w:r>
      <w:r>
        <w:rPr>
          <w:rFonts w:hint="eastAsia" w:ascii="仿宋_GB2312" w:hAnsi="仿宋_GB2312" w:eastAsia="仿宋_GB2312" w:cs="仿宋_GB2312"/>
          <w:sz w:val="32"/>
          <w:szCs w:val="32"/>
        </w:rPr>
        <w:t>加速注册审批，加强医保支持，支持产品应用</w:t>
      </w:r>
      <w:r>
        <w:rPr>
          <w:rFonts w:hint="eastAsia" w:ascii="仿宋_GB2312" w:hAnsi="仿宋_GB2312" w:eastAsia="仿宋_GB2312" w:cs="仿宋_GB2312"/>
          <w:color w:val="auto"/>
          <w:sz w:val="32"/>
          <w:szCs w:val="32"/>
        </w:rPr>
        <w:t>。</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（三）深化开放合作</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举办多层次海峡两岸脑机接口创新交流活动，吸引两岸专家学者、企业家参与，共同探讨脑机接口技术的发展趋势和应用前景。支持企业参加国际展会，拓展海外市场。推动与“一带一路”沿线国家开展技术合作，推</w:t>
      </w:r>
      <w:r>
        <w:rPr>
          <w:rFonts w:hint="eastAsia" w:ascii="仿宋_GB2312" w:hAnsi="仿宋_GB2312" w:eastAsia="仿宋_GB2312" w:cs="仿宋_GB2312"/>
          <w:color w:val="auto"/>
          <w:sz w:val="32"/>
          <w:szCs w:val="32"/>
          <w:lang w:val="en-US" w:eastAsia="zh-CN"/>
        </w:rPr>
        <w:t>广</w:t>
      </w:r>
      <w:r>
        <w:rPr>
          <w:rFonts w:hint="eastAsia" w:ascii="仿宋_GB2312" w:hAnsi="仿宋_GB2312" w:eastAsia="仿宋_GB2312" w:cs="仿宋_GB2312"/>
          <w:color w:val="auto"/>
          <w:sz w:val="32"/>
          <w:szCs w:val="32"/>
        </w:rPr>
        <w:t>脑机接口技术和产品。</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textAlignment w:val="auto"/>
        <w:rPr>
          <w:rFonts w:hint="eastAsia" w:ascii="楷体_GB2312" w:hAnsi="楷体_GB2312" w:eastAsia="楷体_GB2312" w:cs="楷体_GB2312"/>
          <w:b/>
          <w:bCs/>
          <w:color w:val="auto"/>
          <w:sz w:val="36"/>
          <w:szCs w:val="36"/>
        </w:rPr>
      </w:pPr>
      <w:r>
        <w:rPr>
          <w:rFonts w:hint="eastAsia" w:ascii="楷体_GB2312" w:hAnsi="楷体_GB2312" w:eastAsia="楷体_GB2312" w:cs="楷体_GB2312"/>
          <w:color w:val="auto"/>
          <w:sz w:val="32"/>
          <w:szCs w:val="32"/>
        </w:rPr>
        <w:t>（四）加强金融支持</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推动投资资金对脑机接口领域的早期投资，满足相关机构在技术开发、成果产业化、规模化生产及市场拓展等方面的融资需求，打造多元多层级的脑机接口产业投融资体系。</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textAlignment w:val="auto"/>
        <w:rPr>
          <w:rFonts w:hint="eastAsia" w:ascii="楷体_GB2312" w:hAnsi="楷体_GB2312" w:eastAsia="楷体_GB2312" w:cs="楷体_GB2312"/>
          <w:color w:val="auto"/>
          <w:sz w:val="32"/>
          <w:szCs w:val="32"/>
        </w:rPr>
      </w:pPr>
      <w:bookmarkStart w:id="0" w:name="_Hlk202776019"/>
      <w:bookmarkEnd w:id="0"/>
      <w:r>
        <w:rPr>
          <w:rFonts w:hint="eastAsia" w:ascii="楷体_GB2312" w:hAnsi="楷体_GB2312" w:eastAsia="楷体_GB2312" w:cs="楷体_GB2312"/>
          <w:color w:val="auto"/>
          <w:sz w:val="32"/>
          <w:szCs w:val="32"/>
        </w:rPr>
        <w:t>（五）完善安全治理</w:t>
      </w:r>
    </w:p>
    <w:p>
      <w:pPr>
        <w:pStyle w:val="23"/>
        <w:keepNext w:val="0"/>
        <w:keepLines w:val="0"/>
        <w:pageBreakBefore w:val="0"/>
        <w:widowControl w:val="0"/>
        <w:kinsoku/>
        <w:wordWrap/>
        <w:overflowPunct/>
        <w:topLinePunct w:val="0"/>
        <w:autoSpaceDE/>
        <w:autoSpaceDN/>
        <w:bidi w:val="0"/>
        <w:adjustRightInd/>
        <w:snapToGrid w:val="0"/>
        <w:spacing w:before="0" w:after="0" w:line="600" w:lineRule="exact"/>
        <w:ind w:right="0" w:firstLine="640"/>
        <w:jc w:val="both"/>
        <w:textAlignment w:val="auto"/>
        <w:rPr>
          <w:rFonts w:hint="eastAsia" w:ascii="仿宋_GB2312" w:hAnsi="仿宋_GB2312" w:eastAsia="仿宋_GB2312" w:cs="仿宋_GB2312"/>
          <w:color w:val="auto"/>
          <w:sz w:val="32"/>
          <w:szCs w:val="32"/>
        </w:rPr>
        <w:sectPr>
          <w:footerReference r:id="rId4" w:type="default"/>
          <w:pgSz w:w="11906" w:h="16838"/>
          <w:pgMar w:top="2098" w:right="1474" w:bottom="1417" w:left="1474" w:header="0" w:footer="708" w:gutter="0"/>
          <w:pgNumType w:fmt="numberInDash" w:start="3"/>
          <w:cols w:space="720" w:num="1"/>
          <w:formProt w:val="0"/>
          <w:docGrid w:linePitch="360" w:charSpace="0"/>
        </w:sectPr>
      </w:pPr>
      <w:r>
        <w:rPr>
          <w:rFonts w:hint="eastAsia" w:ascii="仿宋_GB2312" w:hAnsi="仿宋_GB2312" w:eastAsia="仿宋_GB2312" w:cs="仿宋_GB2312"/>
          <w:color w:val="auto"/>
          <w:sz w:val="32"/>
          <w:szCs w:val="32"/>
        </w:rPr>
        <w:t>建立严格的数据隐私保护机制，将伦理审查与安全评估贯穿始终，防止敏感生物信息泄露，同时推动跨部门协同合作，强化联动监管，实现从技术研发到临床应用的全链条风险管控。持续跟踪脑机接口设备对人体健康的长期影响，建立科学的监测与预警机制，推动脑机接口产业实现可持续的高质量发展。</w:t>
      </w:r>
    </w:p>
    <w:p>
      <w:pPr>
        <w:tabs>
          <w:tab w:val="left" w:pos="2397"/>
        </w:tabs>
        <w:jc w:val="left"/>
        <w:rPr>
          <w:rFonts w:ascii="仿宋" w:hAnsi="仿宋" w:eastAsia="仿宋" w:cs="仿宋"/>
          <w:szCs w:val="32"/>
        </w:rPr>
      </w:pPr>
    </w:p>
    <w:p>
      <w:pPr>
        <w:rPr>
          <w:rFonts w:ascii="仿宋" w:hAnsi="仿宋" w:eastAsia="仿宋" w:cs="仿宋"/>
          <w:szCs w:val="32"/>
        </w:rPr>
      </w:pPr>
    </w:p>
    <w:p>
      <w:pPr>
        <w:jc w:val="left"/>
      </w:pPr>
    </w:p>
    <w:p>
      <w:pPr>
        <w:jc w:val="left"/>
      </w:pPr>
    </w:p>
    <w:p>
      <w:pPr>
        <w:jc w:val="left"/>
      </w:pPr>
    </w:p>
    <w:p>
      <w:pPr>
        <w:jc w:val="left"/>
      </w:pPr>
      <w:r>
        <w:rPr>
          <w:rFonts w:ascii="仿宋" w:hAnsi="仿宋" w:eastAsia="仿宋" w:cs="仿宋"/>
          <w:szCs w:val="32"/>
        </w:rPr>
        <w:pict>
          <v:shape id="_x0000_s2145" o:spid="_x0000_s2145" o:spt="75" alt="http://portal.fj.cegn.cn:8081/lw-zwbg-cloud//core/upload/2026/08/14/20260814115417011.bmp" type="#_x0000_t75" style="position:absolute;left:0pt;margin-left:282.3pt;margin-top:641.15pt;height:36pt;width:145pt;mso-position-horizontal-relative:margin;mso-position-vertical-relative:margin;z-index:251666432;mso-width-relative:page;mso-height-relative:page;" filled="f" o:preferrelative="t" stroked="f" coordsize="21600,21600">
            <v:path/>
            <v:fill on="f" focussize="0,0"/>
            <v:stroke on="f"/>
            <v:imagedata r:id="rId10" r:href="rId11" o:title=""/>
            <o:lock v:ext="edit" aspectratio="f"/>
          </v:shape>
        </w:pict>
      </w:r>
      <w:r>
        <w:rPr>
          <w:rFonts w:hint="eastAsia"/>
        </w:rPr>
        <mc:AlternateContent>
          <mc:Choice Requires="wps">
            <w:drawing>
              <wp:anchor distT="0" distB="0" distL="114300" distR="114300" simplePos="0" relativeHeight="251665408"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2026年8月</w:t>
                            </w:r>
                            <w:r>
                              <w:rPr>
                                <w:rFonts w:hint="eastAsia" w:ascii="仿宋" w:hAnsi="仿宋" w:eastAsia="仿宋" w:cs="仿宋"/>
                                <w:color w:val="000000"/>
                                <w:sz w:val="28"/>
                                <w:szCs w:val="28"/>
                                <w:lang w:val="en-US" w:eastAsia="zh-CN"/>
                              </w:rPr>
                              <w:t>14</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5408;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2026年8月</w:t>
                      </w:r>
                      <w:r>
                        <w:rPr>
                          <w:rFonts w:hint="eastAsia" w:ascii="仿宋" w:hAnsi="仿宋" w:eastAsia="仿宋" w:cs="仿宋"/>
                          <w:color w:val="000000"/>
                          <w:sz w:val="28"/>
                          <w:szCs w:val="28"/>
                          <w:lang w:val="en-US" w:eastAsia="zh-CN"/>
                        </w:rPr>
                        <w:t>14</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4384;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headerReference r:id="rId6" w:type="first"/>
      <w:footerReference r:id="rId8" w:type="first"/>
      <w:headerReference r:id="rId5" w:type="default"/>
      <w:footerReference r:id="rId7" w:type="default"/>
      <w:pgSz w:w="11906" w:h="16838"/>
      <w:pgMar w:top="2098" w:right="1531" w:bottom="1984" w:left="1531" w:header="851" w:footer="1417" w:gutter="0"/>
      <w:pgNumType w:fmt="numberInDash"/>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等线">
    <w:altName w:val="汉仪中圆B5"/>
    <w:panose1 w:val="02010600030101010101"/>
    <w:charset w:val="00"/>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汉仪中圆B5">
    <w:panose1 w:val="02010600000101010101"/>
    <w:charset w:val="88"/>
    <w:family w:val="auto"/>
    <w:pitch w:val="default"/>
    <w:sig w:usb0="00000001" w:usb1="080E0800" w:usb2="00000002" w:usb3="00000000" w:csb0="001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848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OOHYJi0AQAAUgMAAA4AAABkcnMv&#10;ZTJvRG9jLnhtbK1TzW4TMRC+I/EOlu/Em0hF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44dgmLQBAABSAwAADgAAAAAAAAABACAAAAA0AQAAZHJzL2Uyb0Rv&#10;Yy54bWxQSwUGAAAAAAYABgBZAQAAWgUAAAAA&#10;">
              <v:fill on="f" focussize="0,0"/>
              <v:stroke on="f"/>
              <v:imagedata o:title=""/>
              <o:lock v:ext="edit" aspectratio="f"/>
              <v:textbox inset="0mm,0mm,0mm,0mm" style="mso-fit-shape-to-text:t;">
                <w:txbxContent>
                  <w:p>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950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rg6jf7QBAABSAwAADgAAAAAAAAABACAAAAA0AQAAZHJzL2Uyb0Rv&#10;Yy54bWxQSwUGAAAAAAYABgBZAQAAWgUAAAAA&#10;">
              <v:fill on="f" focussize="0,0"/>
              <v:stroke on="f"/>
              <v:imagedata o:title=""/>
              <o:lock v:ext="edit" aspectratio="f"/>
              <v:textbox inset="0mm,0mm,0mm,0mm" style="mso-fit-shape-to-text:t;">
                <w:txbxContent>
                  <w:p>
                    <w:pPr>
                      <w:pStyle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9"/>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Theme="majorEastAsia" w:hAnsiTheme="majorEastAsia" w:eastAsiaTheme="majorEastAsia" w:cstheme="majorEastAsia"/>
                              <w:sz w:val="28"/>
                              <w:szCs w:val="28"/>
                              <w:lang w:val="en"/>
                            </w:rPr>
                          </w:pPr>
                          <w:r>
                            <w:rPr>
                              <w:rFonts w:hint="default"/>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9"/>
                      <w:rPr>
                        <w:rFonts w:hint="eastAsia" w:asciiTheme="majorEastAsia" w:hAnsiTheme="majorEastAsia" w:eastAsiaTheme="majorEastAsia" w:cstheme="majorEastAsia"/>
                        <w:sz w:val="28"/>
                        <w:szCs w:val="28"/>
                        <w:lang w:val="en"/>
                      </w:rPr>
                    </w:pPr>
                    <w:r>
                      <w:rPr>
                        <w:rFonts w:hint="default"/>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suff w:val="nothing"/>
      <w:lvlText w:val="%1."/>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visionView w:markup="0"/>
  <w:documentProtection w:edit="readOnly" w:enforcement="0"/>
  <w:defaultTabStop w:val="420"/>
  <w:drawingGridHorizontalSpacing w:val="169"/>
  <w:drawingGridVerticalSpacing w:val="579"/>
  <w:displayHorizontalDrawingGridEvery w:val="2"/>
  <w:noPunctuationKerning w:val="true"/>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778397"/>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DFD039"/>
    <w:rsid w:val="3FF5D3D3"/>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EFB77A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EDF474E"/>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554D7E"/>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B46"/>
    <w:rsid w:val="B63B6FD4"/>
    <w:rsid w:val="BEFA5065"/>
    <w:rsid w:val="BFDFFD7F"/>
    <w:rsid w:val="BFF798C2"/>
    <w:rsid w:val="C5FF0FDB"/>
    <w:rsid w:val="C6DEF02F"/>
    <w:rsid w:val="CED2A2CB"/>
    <w:rsid w:val="D77D9059"/>
    <w:rsid w:val="DEBBE1DE"/>
    <w:rsid w:val="F3FE1D6C"/>
    <w:rsid w:val="F46C5839"/>
    <w:rsid w:val="F563632A"/>
    <w:rsid w:val="F5FB8056"/>
    <w:rsid w:val="F89DB724"/>
    <w:rsid w:val="FABF11D9"/>
    <w:rsid w:val="FBD7082E"/>
    <w:rsid w:val="FC6ADD8B"/>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4">
    <w:name w:val="heading 1"/>
    <w:basedOn w:val="1"/>
    <w:next w:val="1"/>
    <w:qFormat/>
    <w:uiPriority w:val="9"/>
    <w:pPr>
      <w:spacing w:before="380" w:after="140" w:line="288" w:lineRule="auto"/>
      <w:outlineLvl w:val="0"/>
    </w:pPr>
    <w:rPr>
      <w:rFonts w:ascii="Arial" w:hAnsi="Arial" w:eastAsia="等线" w:cs="Arial"/>
      <w:b/>
      <w:bCs/>
      <w:sz w:val="36"/>
      <w:szCs w:val="36"/>
      <w:lang w:val="en-US" w:eastAsia="zh-CN" w:bidi="ar-SA"/>
    </w:rPr>
  </w:style>
  <w:style w:type="paragraph" w:styleId="5">
    <w:name w:val="heading 2"/>
    <w:next w:val="1"/>
    <w:unhideWhenUsed/>
    <w:qFormat/>
    <w:uiPriority w:val="9"/>
    <w:pPr>
      <w:spacing w:before="320" w:after="120" w:line="288" w:lineRule="auto"/>
      <w:outlineLvl w:val="1"/>
    </w:pPr>
    <w:rPr>
      <w:rFonts w:ascii="Arial" w:hAnsi="Arial" w:eastAsia="等线" w:cs="Arial"/>
      <w:b/>
      <w:bCs/>
      <w:sz w:val="32"/>
      <w:szCs w:val="32"/>
      <w:lang w:val="en-US" w:eastAsia="zh-CN" w:bidi="ar-SA"/>
    </w:rPr>
  </w:style>
  <w:style w:type="paragraph" w:styleId="6">
    <w:name w:val="heading 3"/>
    <w:next w:val="1"/>
    <w:unhideWhenUsed/>
    <w:qFormat/>
    <w:uiPriority w:val="9"/>
    <w:pPr>
      <w:spacing w:before="300" w:after="120" w:line="288" w:lineRule="auto"/>
      <w:outlineLvl w:val="2"/>
    </w:pPr>
    <w:rPr>
      <w:rFonts w:ascii="Arial" w:hAnsi="Arial" w:eastAsia="等线" w:cs="Arial"/>
      <w:b/>
      <w:bCs/>
      <w:sz w:val="30"/>
      <w:szCs w:val="30"/>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7">
    <w:name w:val="Date"/>
    <w:basedOn w:val="1"/>
    <w:next w:val="1"/>
    <w:link w:val="15"/>
    <w:qFormat/>
    <w:uiPriority w:val="0"/>
    <w:rPr>
      <w:rFonts w:ascii="仿宋_GB2312"/>
    </w:rPr>
  </w:style>
  <w:style w:type="paragraph" w:styleId="8">
    <w:name w:val="Balloon Text"/>
    <w:basedOn w:val="1"/>
    <w:link w:val="16"/>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customStyle="1" w:styleId="15">
    <w:name w:val="日期 字符"/>
    <w:basedOn w:val="13"/>
    <w:link w:val="7"/>
    <w:qFormat/>
    <w:uiPriority w:val="0"/>
    <w:rPr>
      <w:rFonts w:ascii="仿宋_GB2312" w:eastAsia="仿宋_GB2312"/>
      <w:kern w:val="2"/>
      <w:sz w:val="32"/>
      <w:szCs w:val="24"/>
    </w:rPr>
  </w:style>
  <w:style w:type="character" w:customStyle="1" w:styleId="16">
    <w:name w:val="批注框文本 字符"/>
    <w:basedOn w:val="13"/>
    <w:link w:val="8"/>
    <w:qFormat/>
    <w:uiPriority w:val="0"/>
    <w:rPr>
      <w:rFonts w:eastAsia="仿宋_GB2312"/>
      <w:kern w:val="2"/>
      <w:sz w:val="18"/>
      <w:szCs w:val="18"/>
    </w:rPr>
  </w:style>
  <w:style w:type="character" w:customStyle="1" w:styleId="17">
    <w:name w:val="页眉 字符"/>
    <w:basedOn w:val="13"/>
    <w:link w:val="10"/>
    <w:qFormat/>
    <w:uiPriority w:val="0"/>
    <w:rPr>
      <w:rFonts w:eastAsia="仿宋_GB2312"/>
      <w:kern w:val="2"/>
      <w:sz w:val="18"/>
      <w:szCs w:val="18"/>
    </w:rPr>
  </w:style>
  <w:style w:type="paragraph" w:customStyle="1" w:styleId="18">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9">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21">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2">
    <w:name w:val="Header or footer|1"/>
    <w:basedOn w:val="1"/>
    <w:qFormat/>
    <w:uiPriority w:val="0"/>
    <w:rPr>
      <w:rFonts w:ascii="宋体" w:hAnsi="宋体" w:eastAsia="宋体" w:cs="宋体"/>
      <w:sz w:val="30"/>
      <w:szCs w:val="30"/>
      <w:lang w:val="zh-TW" w:eastAsia="zh-TW" w:bidi="zh-TW"/>
    </w:rPr>
  </w:style>
  <w:style w:type="paragraph" w:customStyle="1" w:styleId="23">
    <w:name w:val="2"/>
    <w:qFormat/>
    <w:uiPriority w:val="0"/>
    <w:pPr>
      <w:spacing w:before="120" w:after="120" w:line="288" w:lineRule="auto"/>
    </w:pPr>
    <w:rPr>
      <w:rFonts w:ascii="Arial" w:hAnsi="Arial" w:eastAsia="等线" w:cs="Arial"/>
      <w:sz w:val="22"/>
      <w:szCs w:val="22"/>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http://portal.fj.cegn.cn:8081/lw-zwbg-cloud//core/upload/2026/08/14/20260814115417011.bmp" TargetMode="Externa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134"/>
    <customShpInfo spid="_x0000_s214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235</TotalTime>
  <ScaleCrop>false</ScaleCrop>
  <LinksUpToDate>false</LinksUpToDate>
  <CharactersWithSpaces>885</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2013-10-17T09:18:00Z</dcterms:created>
  <dc:creator>hwenfeng</dc:creator>
  <cp:lastModifiedBy>李隽</cp:lastModifiedBy>
  <cp:lastPrinted>2026-08-15T07:43:00Z</cp:lastPrinted>
  <dcterms:modified xsi:type="dcterms:W3CDTF">2026-08-18T15:27:33Z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041F2DF1A1481653E7D3836AD8E74998_43</vt:lpwstr>
  </property>
</Properties>
</file>