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FA91D">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6"/>
          <w:w w:val="100"/>
          <w:sz w:val="84"/>
          <w:szCs w:val="84"/>
          <w:lang w:eastAsia="zh-CN" w:bidi="ar-SA"/>
        </w:rPr>
      </w:pPr>
      <w:bookmarkStart w:id="1" w:name="_GoBack"/>
      <w:bookmarkEnd w:id="1"/>
    </w:p>
    <w:p w14:paraId="721BF5D5">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6"/>
          <w:w w:val="100"/>
          <w:sz w:val="84"/>
          <w:szCs w:val="84"/>
          <w:lang w:eastAsia="zh-CN" w:bidi="ar-SA"/>
        </w:rPr>
      </w:pPr>
    </w:p>
    <w:p w14:paraId="69E066E6">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6"/>
          <w:w w:val="100"/>
          <w:sz w:val="84"/>
          <w:szCs w:val="84"/>
          <w:lang w:eastAsia="zh-CN" w:bidi="ar-SA"/>
        </w:rPr>
      </w:pPr>
      <w:r>
        <w:rPr>
          <w:rFonts w:hint="eastAsia" w:ascii="方正小标宋简体" w:eastAsia="方正小标宋简体" w:cs="方正小标宋简体"/>
          <w:b/>
          <w:color w:val="FF0000"/>
          <w:spacing w:val="6"/>
          <w:w w:val="100"/>
          <w:sz w:val="84"/>
          <w:szCs w:val="84"/>
          <w:lang w:eastAsia="zh-CN" w:bidi="ar-SA"/>
        </w:rPr>
        <w:t>福建省科学技术厅</w:t>
      </w:r>
    </w:p>
    <w:p w14:paraId="5B7FEB17">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0"/>
          <w:w w:val="80"/>
          <w:sz w:val="84"/>
          <w:szCs w:val="84"/>
          <w:lang w:eastAsia="zh-CN" w:bidi="ar-SA"/>
        </w:rPr>
      </w:pPr>
      <w:r>
        <w:rPr>
          <w:b/>
          <w:spacing w:val="0"/>
          <w:w w:val="80"/>
          <w:sz w:val="84"/>
        </w:rPr>
        <mc:AlternateContent>
          <mc:Choice Requires="wps">
            <w:drawing>
              <wp:anchor distT="0" distB="0" distL="114300" distR="114300" simplePos="0" relativeHeight="251668480" behindDoc="0" locked="0" layoutInCell="1" allowOverlap="1">
                <wp:simplePos x="0" y="0"/>
                <wp:positionH relativeFrom="column">
                  <wp:posOffset>4411345</wp:posOffset>
                </wp:positionH>
                <wp:positionV relativeFrom="paragraph">
                  <wp:posOffset>179705</wp:posOffset>
                </wp:positionV>
                <wp:extent cx="1428115" cy="984250"/>
                <wp:effectExtent l="9525" t="9525" r="10160" b="15875"/>
                <wp:wrapNone/>
                <wp:docPr id="3" name="文本框 3"/>
                <wp:cNvGraphicFramePr/>
                <a:graphic xmlns:a="http://schemas.openxmlformats.org/drawingml/2006/main">
                  <a:graphicData uri="http://schemas.microsoft.com/office/word/2010/wordprocessingShape">
                    <wps:wsp>
                      <wps:cNvSpPr txBox="1"/>
                      <wps:spPr>
                        <a:xfrm>
                          <a:off x="0" y="0"/>
                          <a:ext cx="1428115" cy="984250"/>
                        </a:xfrm>
                        <a:prstGeom prst="rect">
                          <a:avLst/>
                        </a:prstGeom>
                        <a:solidFill>
                          <a:srgbClr val="FFFFFF"/>
                        </a:solidFill>
                        <a:ln w="19050" cap="flat" cmpd="sng">
                          <a:solidFill>
                            <a:srgbClr val="FFFFFF"/>
                          </a:solidFill>
                          <a:prstDash val="solid"/>
                          <a:miter/>
                          <a:headEnd type="none" w="med" len="med"/>
                          <a:tailEnd type="none" w="med" len="med"/>
                        </a:ln>
                      </wps:spPr>
                      <wps:txbx>
                        <w:txbxContent>
                          <w:p w14:paraId="5520E4F7">
                            <w:pPr>
                              <w:snapToGrid w:val="0"/>
                              <w:spacing w:line="1000" w:lineRule="exact"/>
                              <w:ind w:right="159"/>
                              <w:jc w:val="left"/>
                              <w:rPr>
                                <w:rFonts w:hint="eastAsia" w:ascii="方正小标宋简体" w:eastAsia="方正小标宋简体" w:cs="方正小标宋简体"/>
                                <w:b/>
                                <w:color w:val="FF0000"/>
                                <w:sz w:val="84"/>
                                <w:szCs w:val="84"/>
                                <w:lang w:eastAsia="zh-CN" w:bidi="ar-SA"/>
                              </w:rPr>
                            </w:pPr>
                            <w:r>
                              <w:rPr>
                                <w:rFonts w:hint="eastAsia" w:ascii="方正小标宋简体" w:eastAsia="方正小标宋简体" w:cs="方正小标宋简体"/>
                                <w:b/>
                                <w:color w:val="FF0000"/>
                                <w:sz w:val="84"/>
                                <w:szCs w:val="84"/>
                                <w:lang w:eastAsia="zh-CN" w:bidi="ar-SA"/>
                              </w:rPr>
                              <w:t>文件</w:t>
                            </w:r>
                          </w:p>
                        </w:txbxContent>
                      </wps:txbx>
                      <wps:bodyPr upright="1"/>
                    </wps:wsp>
                  </a:graphicData>
                </a:graphic>
              </wp:anchor>
            </w:drawing>
          </mc:Choice>
          <mc:Fallback>
            <w:pict>
              <v:shape id="_x0000_s1026" o:spid="_x0000_s1026" o:spt="202" type="#_x0000_t202" style="position:absolute;left:0pt;margin-left:347.35pt;margin-top:14.15pt;height:77.5pt;width:112.45pt;z-index:251668480;mso-width-relative:page;mso-height-relative:page;" fillcolor="#FFFFFF" filled="t" stroked="t" coordsize="21600,21600" o:gfxdata="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idfebYAAAACgEAAA8AAAAAAAAAAQAgAAAAIgAA&#10;AGRycy9kb3ducmV2LnhtbFBLAQIUABQAAAAIAIdO4kAYz1a5CAIAADcEAAAOAAAAAAAAAAEAIAAA&#10;ACcBAABkcnMvZTJvRG9jLnhtbFBLBQYAAAAABgAGAFkBAAChBQAAAAA=&#10;">
                <v:fill on="t" focussize="0,0"/>
                <v:stroke weight="1.5pt" color="#FFFFFF" joinstyle="miter"/>
                <v:imagedata o:title=""/>
                <o:lock v:ext="edit" aspectratio="f"/>
                <v:textbox>
                  <w:txbxContent>
                    <w:p w14:paraId="5520E4F7">
                      <w:pPr>
                        <w:snapToGrid w:val="0"/>
                        <w:spacing w:line="1000" w:lineRule="exact"/>
                        <w:ind w:right="159"/>
                        <w:jc w:val="left"/>
                        <w:rPr>
                          <w:rFonts w:hint="eastAsia" w:ascii="方正小标宋简体" w:eastAsia="方正小标宋简体" w:cs="方正小标宋简体"/>
                          <w:b/>
                          <w:color w:val="FF0000"/>
                          <w:sz w:val="84"/>
                          <w:szCs w:val="84"/>
                          <w:lang w:eastAsia="zh-CN" w:bidi="ar-SA"/>
                        </w:rPr>
                      </w:pPr>
                      <w:r>
                        <w:rPr>
                          <w:rFonts w:hint="eastAsia" w:ascii="方正小标宋简体" w:eastAsia="方正小标宋简体" w:cs="方正小标宋简体"/>
                          <w:b/>
                          <w:color w:val="FF0000"/>
                          <w:sz w:val="84"/>
                          <w:szCs w:val="84"/>
                          <w:lang w:eastAsia="zh-CN" w:bidi="ar-SA"/>
                        </w:rPr>
                        <w:t>文件</w:t>
                      </w:r>
                    </w:p>
                  </w:txbxContent>
                </v:textbox>
              </v:shape>
            </w:pict>
          </mc:Fallback>
        </mc:AlternateContent>
      </w:r>
      <w:r>
        <w:rPr>
          <w:rFonts w:hint="eastAsia" w:ascii="方正小标宋简体" w:eastAsia="方正小标宋简体" w:cs="方正小标宋简体"/>
          <w:b/>
          <w:color w:val="FF0000"/>
          <w:spacing w:val="11"/>
          <w:w w:val="70"/>
          <w:sz w:val="84"/>
          <w:szCs w:val="84"/>
          <w:lang w:val="en-US" w:eastAsia="zh-CN" w:bidi="ar-SA"/>
        </w:rPr>
        <w:t>福建省发展和改革委员会</w:t>
      </w:r>
    </w:p>
    <w:p w14:paraId="194D18D7">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0"/>
          <w:w w:val="80"/>
          <w:sz w:val="84"/>
          <w:szCs w:val="84"/>
          <w:lang w:eastAsia="zh-CN" w:bidi="ar-SA"/>
        </w:rPr>
      </w:pPr>
      <w:r>
        <w:rPr>
          <w:rFonts w:hint="eastAsia" w:ascii="方正小标宋简体" w:eastAsia="方正小标宋简体" w:cs="方正小标宋简体"/>
          <w:b/>
          <w:color w:val="FF0000"/>
          <w:spacing w:val="0"/>
          <w:w w:val="80"/>
          <w:sz w:val="84"/>
          <w:szCs w:val="84"/>
          <w:lang w:val="en-US" w:eastAsia="zh-CN" w:bidi="ar-SA"/>
        </w:rPr>
        <w:t>福建省工业和信息化厅</w:t>
      </w:r>
    </w:p>
    <w:p w14:paraId="620A13F5">
      <w:pPr>
        <w:keepNext w:val="0"/>
        <w:keepLines w:val="0"/>
        <w:pageBreakBefore w:val="0"/>
        <w:widowControl w:val="0"/>
        <w:kinsoku/>
        <w:wordWrap/>
        <w:overflowPunct/>
        <w:topLinePunct w:val="0"/>
        <w:autoSpaceDE/>
        <w:autoSpaceDN/>
        <w:bidi w:val="0"/>
        <w:adjustRightInd/>
        <w:snapToGrid w:val="0"/>
        <w:spacing w:line="940" w:lineRule="exact"/>
        <w:ind w:right="159"/>
        <w:jc w:val="left"/>
        <w:textAlignment w:val="auto"/>
        <w:rPr>
          <w:rFonts w:hint="eastAsia" w:ascii="方正小标宋简体" w:eastAsia="方正小标宋简体" w:cs="方正小标宋简体"/>
          <w:b/>
          <w:color w:val="FF0000"/>
          <w:spacing w:val="0"/>
          <w:w w:val="80"/>
          <w:sz w:val="84"/>
          <w:szCs w:val="84"/>
          <w:lang w:eastAsia="zh-CN" w:bidi="ar-SA"/>
        </w:rPr>
      </w:pPr>
      <w:r>
        <w:rPr>
          <w:rFonts w:hint="eastAsia" w:ascii="方正小标宋简体" w:eastAsia="方正小标宋简体" w:cs="方正小标宋简体"/>
          <w:b/>
          <w:color w:val="FF0000"/>
          <w:spacing w:val="0"/>
          <w:w w:val="80"/>
          <w:sz w:val="84"/>
          <w:szCs w:val="84"/>
          <w:lang w:val="en-US" w:eastAsia="zh-CN" w:bidi="ar-SA"/>
        </w:rPr>
        <w:t>福建省市场监督管理局</w:t>
      </w:r>
    </w:p>
    <w:p w14:paraId="4B63F404">
      <w:pPr>
        <w:snapToGrid w:val="0"/>
        <w:spacing w:line="600" w:lineRule="exact"/>
        <w:ind w:right="1440"/>
        <w:rPr>
          <w:rFonts w:hint="eastAsia" w:ascii="黑体" w:eastAsia="黑体"/>
          <w:b/>
          <w:szCs w:val="32"/>
        </w:rPr>
      </w:pPr>
      <w:r>
        <w:rPr>
          <w:rFonts w:hint="eastAsia" w:ascii="黑体" w:eastAsia="黑体"/>
          <w:b/>
          <w:szCs w:val="32"/>
        </w:rPr>
        <w:t xml:space="preserve">             </w:t>
      </w:r>
    </w:p>
    <w:p w14:paraId="5878054B">
      <w:pPr>
        <w:snapToGrid w:val="0"/>
        <w:spacing w:line="60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6432" behindDoc="0" locked="0" layoutInCell="1" allowOverlap="1">
                <wp:simplePos x="0" y="0"/>
                <wp:positionH relativeFrom="column">
                  <wp:posOffset>1519555</wp:posOffset>
                </wp:positionH>
                <wp:positionV relativeFrom="paragraph">
                  <wp:posOffset>31750</wp:posOffset>
                </wp:positionV>
                <wp:extent cx="2584450" cy="38227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584450" cy="382270"/>
                        </a:xfrm>
                        <a:prstGeom prst="rect">
                          <a:avLst/>
                        </a:prstGeom>
                        <a:noFill/>
                        <a:ln>
                          <a:noFill/>
                        </a:ln>
                        <a:effectLst/>
                      </wps:spPr>
                      <wps:txbx>
                        <w:txbxContent>
                          <w:p w14:paraId="08492077">
                            <w:pPr>
                              <w:widowControl/>
                              <w:jc w:val="left"/>
                              <w:rPr>
                                <w:rFonts w:ascii="仿宋" w:hAnsi="仿宋" w:eastAsia="仿宋" w:cs="仿宋"/>
                                <w:color w:val="000000"/>
                                <w:kern w:val="0"/>
                                <w:szCs w:val="32"/>
                                <w:lang w:bidi="ar"/>
                              </w:rPr>
                            </w:pPr>
                            <w:r>
                              <w:rPr>
                                <w:rFonts w:hint="eastAsia" w:ascii="仿宋" w:hAnsi="仿宋" w:eastAsia="仿宋" w:cs="仿宋"/>
                                <w:color w:val="000000"/>
                                <w:kern w:val="0"/>
                                <w:szCs w:val="32"/>
                                <w:lang w:bidi="ar"/>
                              </w:rPr>
                              <w:t xml:space="preserve"> </w:t>
                            </w:r>
                            <w:r>
                              <w:rPr>
                                <w:rFonts w:hint="eastAsia" w:ascii="仿宋_GB2312" w:eastAsia="仿宋_GB2312" w:cs="仿宋_GB2312"/>
                                <w:color w:val="000000"/>
                                <w:spacing w:val="0"/>
                                <w:kern w:val="0"/>
                                <w:sz w:val="32"/>
                                <w:szCs w:val="32"/>
                                <w:lang w:val="en-US" w:eastAsia="zh-CN" w:bidi="ar"/>
                              </w:rPr>
                              <w:t>闽科综〔202</w:t>
                            </w:r>
                            <w:r>
                              <w:rPr>
                                <w:rFonts w:hint="eastAsia" w:ascii="仿宋_GB2312" w:cs="仿宋_GB2312"/>
                                <w:color w:val="000000"/>
                                <w:spacing w:val="0"/>
                                <w:kern w:val="0"/>
                                <w:sz w:val="32"/>
                                <w:szCs w:val="32"/>
                                <w:lang w:val="en-US" w:eastAsia="zh-CN" w:bidi="ar"/>
                              </w:rPr>
                              <w:t>6</w:t>
                            </w:r>
                            <w:r>
                              <w:rPr>
                                <w:rFonts w:hint="eastAsia" w:ascii="仿宋_GB2312" w:eastAsia="仿宋_GB2312" w:cs="仿宋_GB2312"/>
                                <w:color w:val="000000"/>
                                <w:spacing w:val="0"/>
                                <w:kern w:val="0"/>
                                <w:sz w:val="32"/>
                                <w:szCs w:val="32"/>
                                <w:lang w:val="en-US" w:eastAsia="zh-CN" w:bidi="ar"/>
                              </w:rPr>
                              <w:t>〕</w:t>
                            </w:r>
                            <w:r>
                              <w:rPr>
                                <w:rFonts w:hint="eastAsia" w:ascii="仿宋_GB2312" w:cs="仿宋_GB2312"/>
                                <w:color w:val="000000"/>
                                <w:spacing w:val="0"/>
                                <w:kern w:val="0"/>
                                <w:sz w:val="32"/>
                                <w:szCs w:val="32"/>
                                <w:lang w:val="en-US" w:eastAsia="zh-CN" w:bidi="ar"/>
                              </w:rPr>
                              <w:t>19</w:t>
                            </w:r>
                            <w:r>
                              <w:rPr>
                                <w:rFonts w:hint="eastAsia" w:ascii="仿宋_GB2312" w:eastAsia="仿宋_GB2312" w:cs="仿宋_GB2312"/>
                                <w:color w:val="000000"/>
                                <w:spacing w:val="0"/>
                                <w:kern w:val="0"/>
                                <w:sz w:val="32"/>
                                <w:szCs w:val="32"/>
                                <w:lang w:val="en-US" w:eastAsia="zh-CN" w:bidi="ar"/>
                              </w:rPr>
                              <w:t>号</w:t>
                            </w:r>
                          </w:p>
                          <w:p w14:paraId="412F134B">
                            <w:pPr>
                              <w:widowControl/>
                              <w:ind w:firstLine="480" w:firstLineChars="150"/>
                              <w:jc w:val="left"/>
                              <w:rPr>
                                <w:rFonts w:ascii="仿宋" w:hAnsi="仿宋" w:eastAsia="仿宋" w:cs="仿宋"/>
                                <w:color w:val="000000"/>
                                <w:kern w:val="0"/>
                                <w:szCs w:val="32"/>
                                <w:lang w:bidi="ar"/>
                              </w:rPr>
                            </w:pPr>
                          </w:p>
                          <w:p w14:paraId="55258C56">
                            <w:pPr>
                              <w:widowControl/>
                              <w:ind w:firstLine="480" w:firstLineChars="150"/>
                              <w:jc w:val="left"/>
                              <w:rPr>
                                <w:rFonts w:ascii="仿宋" w:hAnsi="仿宋" w:eastAsia="仿宋" w:cs="仿宋"/>
                                <w:color w:val="000000"/>
                                <w:kern w:val="0"/>
                                <w:szCs w:val="32"/>
                                <w:lang w:bidi="ar"/>
                              </w:rPr>
                            </w:pPr>
                          </w:p>
                          <w:p w14:paraId="1767AC93">
                            <w:pPr>
                              <w:jc w:val="center"/>
                            </w:pPr>
                          </w:p>
                        </w:txbxContent>
                      </wps:txbx>
                      <wps:bodyPr vert="horz" wrap="square" lIns="0" tIns="45720" rIns="0" bIns="45720" anchor="t" anchorCtr="0" upright="1"/>
                    </wps:wsp>
                  </a:graphicData>
                </a:graphic>
              </wp:anchor>
            </w:drawing>
          </mc:Choice>
          <mc:Fallback>
            <w:pict>
              <v:shape id="_x0000_s1026" o:spid="_x0000_s1026" o:spt="202" type="#_x0000_t202" style="position:absolute;left:0pt;margin-left:119.65pt;margin-top:2.5pt;height:30.1pt;width:203.5pt;z-index:251666432;mso-width-relative:page;mso-height-relative:page;" filled="f" stroked="f" coordsize="21600,21600" o:gfxdata="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Wv3NHYAAAA&#10;CAEAAA8AAAAAAAAAAQAgAAAAIgAAAGRycy9kb3ducmV2LnhtbFBLAQIUABQAAAAIAIdO4kD7AfGL&#10;5AEAAL0DAAAOAAAAAAAAAAEAIAAAACcBAABkcnMvZTJvRG9jLnhtbFBLBQYAAAAABgAGAFkBAAB9&#10;BQAAAAA=&#10;">
                <v:fill on="f" focussize="0,0"/>
                <v:stroke on="f"/>
                <v:imagedata o:title=""/>
                <o:lock v:ext="edit" aspectratio="f"/>
                <v:textbox inset="0mm,1.27mm,0mm,1.27mm">
                  <w:txbxContent>
                    <w:p w14:paraId="08492077">
                      <w:pPr>
                        <w:widowControl/>
                        <w:jc w:val="left"/>
                        <w:rPr>
                          <w:rFonts w:ascii="仿宋" w:hAnsi="仿宋" w:eastAsia="仿宋" w:cs="仿宋"/>
                          <w:color w:val="000000"/>
                          <w:kern w:val="0"/>
                          <w:szCs w:val="32"/>
                          <w:lang w:bidi="ar"/>
                        </w:rPr>
                      </w:pPr>
                      <w:r>
                        <w:rPr>
                          <w:rFonts w:hint="eastAsia" w:ascii="仿宋" w:hAnsi="仿宋" w:eastAsia="仿宋" w:cs="仿宋"/>
                          <w:color w:val="000000"/>
                          <w:kern w:val="0"/>
                          <w:szCs w:val="32"/>
                          <w:lang w:bidi="ar"/>
                        </w:rPr>
                        <w:t xml:space="preserve"> </w:t>
                      </w:r>
                      <w:r>
                        <w:rPr>
                          <w:rFonts w:hint="eastAsia" w:ascii="仿宋_GB2312" w:eastAsia="仿宋_GB2312" w:cs="仿宋_GB2312"/>
                          <w:color w:val="000000"/>
                          <w:spacing w:val="0"/>
                          <w:kern w:val="0"/>
                          <w:sz w:val="32"/>
                          <w:szCs w:val="32"/>
                          <w:lang w:val="en-US" w:eastAsia="zh-CN" w:bidi="ar"/>
                        </w:rPr>
                        <w:t>闽科综〔202</w:t>
                      </w:r>
                      <w:r>
                        <w:rPr>
                          <w:rFonts w:hint="eastAsia" w:ascii="仿宋_GB2312" w:cs="仿宋_GB2312"/>
                          <w:color w:val="000000"/>
                          <w:spacing w:val="0"/>
                          <w:kern w:val="0"/>
                          <w:sz w:val="32"/>
                          <w:szCs w:val="32"/>
                          <w:lang w:val="en-US" w:eastAsia="zh-CN" w:bidi="ar"/>
                        </w:rPr>
                        <w:t>6</w:t>
                      </w:r>
                      <w:r>
                        <w:rPr>
                          <w:rFonts w:hint="eastAsia" w:ascii="仿宋_GB2312" w:eastAsia="仿宋_GB2312" w:cs="仿宋_GB2312"/>
                          <w:color w:val="000000"/>
                          <w:spacing w:val="0"/>
                          <w:kern w:val="0"/>
                          <w:sz w:val="32"/>
                          <w:szCs w:val="32"/>
                          <w:lang w:val="en-US" w:eastAsia="zh-CN" w:bidi="ar"/>
                        </w:rPr>
                        <w:t>〕</w:t>
                      </w:r>
                      <w:r>
                        <w:rPr>
                          <w:rFonts w:hint="eastAsia" w:ascii="仿宋_GB2312" w:cs="仿宋_GB2312"/>
                          <w:color w:val="000000"/>
                          <w:spacing w:val="0"/>
                          <w:kern w:val="0"/>
                          <w:sz w:val="32"/>
                          <w:szCs w:val="32"/>
                          <w:lang w:val="en-US" w:eastAsia="zh-CN" w:bidi="ar"/>
                        </w:rPr>
                        <w:t>19</w:t>
                      </w:r>
                      <w:r>
                        <w:rPr>
                          <w:rFonts w:hint="eastAsia" w:ascii="仿宋_GB2312" w:eastAsia="仿宋_GB2312" w:cs="仿宋_GB2312"/>
                          <w:color w:val="000000"/>
                          <w:spacing w:val="0"/>
                          <w:kern w:val="0"/>
                          <w:sz w:val="32"/>
                          <w:szCs w:val="32"/>
                          <w:lang w:val="en-US" w:eastAsia="zh-CN" w:bidi="ar"/>
                        </w:rPr>
                        <w:t>号</w:t>
                      </w:r>
                    </w:p>
                    <w:p w14:paraId="412F134B">
                      <w:pPr>
                        <w:widowControl/>
                        <w:ind w:firstLine="480" w:firstLineChars="150"/>
                        <w:jc w:val="left"/>
                        <w:rPr>
                          <w:rFonts w:ascii="仿宋" w:hAnsi="仿宋" w:eastAsia="仿宋" w:cs="仿宋"/>
                          <w:color w:val="000000"/>
                          <w:kern w:val="0"/>
                          <w:szCs w:val="32"/>
                          <w:lang w:bidi="ar"/>
                        </w:rPr>
                      </w:pPr>
                    </w:p>
                    <w:p w14:paraId="55258C56">
                      <w:pPr>
                        <w:widowControl/>
                        <w:ind w:firstLine="480" w:firstLineChars="150"/>
                        <w:jc w:val="left"/>
                        <w:rPr>
                          <w:rFonts w:ascii="仿宋" w:hAnsi="仿宋" w:eastAsia="仿宋" w:cs="仿宋"/>
                          <w:color w:val="000000"/>
                          <w:kern w:val="0"/>
                          <w:szCs w:val="32"/>
                          <w:lang w:bidi="ar"/>
                        </w:rPr>
                      </w:pPr>
                    </w:p>
                    <w:p w14:paraId="1767AC93">
                      <w:pPr>
                        <w:jc w:val="center"/>
                      </w:pPr>
                    </w:p>
                  </w:txbxContent>
                </v:textbox>
              </v:shape>
            </w:pict>
          </mc:Fallback>
        </mc:AlternateContent>
      </w:r>
      <w:r>
        <w:rPr>
          <w:rFonts w:hint="eastAsia" w:ascii="黑体" w:eastAsia="黑体"/>
          <w:b/>
          <w:szCs w:val="32"/>
        </w:rPr>
        <w:t xml:space="preserve">                                        </w:t>
      </w:r>
    </w:p>
    <w:p w14:paraId="24FB5D4F">
      <w:pPr>
        <w:snapToGrid w:val="0"/>
        <w:spacing w:line="58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7456" behindDoc="0" locked="0" layoutInCell="1" allowOverlap="1">
                <wp:simplePos x="0" y="0"/>
                <wp:positionH relativeFrom="column">
                  <wp:posOffset>-120015</wp:posOffset>
                </wp:positionH>
                <wp:positionV relativeFrom="paragraph">
                  <wp:posOffset>215265</wp:posOffset>
                </wp:positionV>
                <wp:extent cx="5608320" cy="13335"/>
                <wp:effectExtent l="0" t="0" r="0" b="0"/>
                <wp:wrapNone/>
                <wp:docPr id="14" name="直接连接符 14"/>
                <wp:cNvGraphicFramePr/>
                <a:graphic xmlns:a="http://schemas.openxmlformats.org/drawingml/2006/main">
                  <a:graphicData uri="http://schemas.microsoft.com/office/word/2010/wordprocessingShape">
                    <wps:wsp>
                      <wps:cNvCnPr/>
                      <wps:spPr>
                        <a:xfrm flipV="1">
                          <a:off x="0" y="0"/>
                          <a:ext cx="5608320" cy="13335"/>
                        </a:xfrm>
                        <a:prstGeom prst="line">
                          <a:avLst/>
                        </a:prstGeom>
                        <a:ln w="285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9.45pt;margin-top:16.95pt;height:1.05pt;width:441.6pt;z-index:251667456;mso-width-relative:page;mso-height-relative:page;" filled="f" stroked="t" coordsize="21600,21600" o:gfxdata="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VsXmfbAAAACQEAAA8AAAAAAAAAAQAgAAAAIgAAAGRycy9k&#10;b3ducmV2LnhtbFBLAQIUABQAAAAIAIdO4kAp57fA/wEAAPcDAAAOAAAAAAAAAAEAIAAAACoBAABk&#10;cnMvZTJvRG9jLnhtbFBLBQYAAAAABgAGAFkBAACbBQAAAAA=&#10;">
                <v:fill on="f" focussize="0,0"/>
                <v:stroke weight="2.25pt" color="#FF0000" joinstyle="round"/>
                <v:imagedata o:title=""/>
                <o:lock v:ext="edit" aspectratio="f"/>
              </v:line>
            </w:pict>
          </mc:Fallback>
        </mc:AlternateContent>
      </w:r>
      <w:r>
        <w:rPr>
          <w:rFonts w:hint="eastAsia" w:ascii="黑体" w:eastAsia="黑体"/>
          <w:b/>
          <w:szCs w:val="32"/>
        </w:rPr>
        <w:t xml:space="preserve">                                        </w:t>
      </w:r>
    </w:p>
    <w:p w14:paraId="5AEF74AC">
      <w:pPr>
        <w:snapToGrid w:val="0"/>
        <w:spacing w:line="560" w:lineRule="exact"/>
        <w:jc w:val="center"/>
        <w:rPr>
          <w:rFonts w:hint="eastAsia" w:ascii="方正小标宋简体" w:hAnsi="方正小标宋简体" w:eastAsia="方正小标宋简体" w:cs="方正小标宋简体"/>
          <w:bCs/>
          <w:sz w:val="44"/>
          <w:szCs w:val="44"/>
          <w:lang w:eastAsia="zh-CN"/>
        </w:rPr>
      </w:pPr>
    </w:p>
    <w:p w14:paraId="296A9DA7">
      <w:pPr>
        <w:snapToGrid w:val="0"/>
        <w:spacing w:line="60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福建省科学技术厅等四部门关于印发《关于</w:t>
      </w:r>
    </w:p>
    <w:p w14:paraId="72904D25">
      <w:pPr>
        <w:snapToGrid w:val="0"/>
        <w:spacing w:line="60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推进科技服务业扩能提质的</w:t>
      </w:r>
    </w:p>
    <w:p w14:paraId="23EB6ACF">
      <w:pPr>
        <w:snapToGrid w:val="0"/>
        <w:spacing w:line="600" w:lineRule="exact"/>
        <w:jc w:val="center"/>
        <w:rPr>
          <w:rFonts w:ascii="方正小标宋_GBK" w:hAnsi="方正小标宋_GBK" w:eastAsia="方正小标宋_GBK" w:cs="方正小标宋_GBK"/>
          <w:bCs/>
          <w:sz w:val="44"/>
          <w:szCs w:val="44"/>
        </w:rPr>
      </w:pPr>
      <w:r>
        <w:rPr>
          <w:rFonts w:hint="eastAsia" w:ascii="方正小标宋简体" w:hAnsi="方正小标宋简体" w:eastAsia="方正小标宋简体" w:cs="方正小标宋简体"/>
          <w:bCs/>
          <w:sz w:val="44"/>
          <w:szCs w:val="44"/>
          <w:lang w:eastAsia="zh-CN"/>
        </w:rPr>
        <w:t>若干措施》的通知</w:t>
      </w:r>
      <w:r>
        <w:rPr>
          <w:rFonts w:hint="eastAsia" w:ascii="方正小标宋_GBK" w:hAnsi="方正小标宋_GBK" w:eastAsia="方正小标宋_GBK" w:cs="方正小标宋_GBK"/>
          <w:bCs/>
          <w:sz w:val="44"/>
          <w:szCs w:val="44"/>
        </w:rPr>
        <w:t xml:space="preserve">                                    </w:t>
      </w:r>
    </w:p>
    <w:p w14:paraId="3A250C61">
      <w:pPr>
        <w:spacing w:line="600" w:lineRule="exact"/>
        <w:rPr>
          <w:rFonts w:hint="eastAsia" w:ascii="仿宋" w:hAnsi="仿宋" w:eastAsia="仿宋" w:cs="仿宋"/>
          <w:szCs w:val="32"/>
          <w:lang w:eastAsia="zh-CN"/>
        </w:rPr>
      </w:pPr>
    </w:p>
    <w:p w14:paraId="73545CDD">
      <w:pPr>
        <w:spacing w:line="600" w:lineRule="exact"/>
        <w:rPr>
          <w:rFonts w:hint="eastAsia" w:ascii="仿宋_GB2312" w:hAnsi="仿宋_GB2312" w:eastAsia="仿宋_GB2312" w:cs="仿宋_GB2312"/>
          <w:szCs w:val="32"/>
        </w:rPr>
      </w:pPr>
      <w:r>
        <w:rPr>
          <w:rFonts w:hint="eastAsia" w:ascii="仿宋_GB2312" w:hAnsi="仿宋_GB2312" w:eastAsia="仿宋_GB2312" w:cs="仿宋_GB2312"/>
          <w:szCs w:val="32"/>
          <w:lang w:eastAsia="zh-CN"/>
        </w:rPr>
        <w:t>各设区市、平潭综合实验区科技、发展改革、工业和信息化、市场监管主管部门，各有关单位：</w:t>
      </w:r>
    </w:p>
    <w:p w14:paraId="172C4EDB">
      <w:pPr>
        <w:spacing w:line="600" w:lineRule="exact"/>
        <w:ind w:firstLine="674" w:firstLineChars="200"/>
        <w:rPr>
          <w:rFonts w:hint="eastAsia" w:ascii="仿宋_GB2312" w:eastAsia="仿宋_GB2312" w:cs="仿宋_GB2312"/>
          <w:bCs/>
          <w:color w:val="000000"/>
          <w:kern w:val="2"/>
          <w:sz w:val="32"/>
          <w:szCs w:val="32"/>
          <w:lang w:val="en-US" w:eastAsia="zh-CN" w:bidi="ar"/>
        </w:rPr>
      </w:pPr>
      <w:r>
        <w:rPr>
          <w:rFonts w:hint="eastAsia" w:ascii="仿宋_GB2312" w:eastAsia="仿宋_GB2312" w:cs="仿宋_GB2312"/>
          <w:bCs/>
          <w:color w:val="000000"/>
          <w:sz w:val="32"/>
          <w:szCs w:val="32"/>
          <w:lang w:eastAsia="zh-CN" w:bidi="ar-SA"/>
        </w:rPr>
        <w:t>为促进科技服务业优质高效发展，更好地支撑服务全省产业转型升级和创新驱动发展，现将《关于推进科技服务业扩能提质的若干措施》印发给你们，请认真贯彻执行。</w:t>
      </w:r>
    </w:p>
    <w:p w14:paraId="6CA58B55">
      <w:pPr>
        <w:spacing w:line="600" w:lineRule="exact"/>
        <w:ind w:firstLine="674" w:firstLineChars="200"/>
        <w:rPr>
          <w:rFonts w:hint="eastAsia" w:ascii="仿宋_GB2312" w:eastAsia="仿宋_GB2312" w:cs="仿宋_GB2312"/>
          <w:bCs/>
          <w:color w:val="000000"/>
          <w:kern w:val="2"/>
          <w:sz w:val="32"/>
          <w:szCs w:val="32"/>
          <w:lang w:val="en-US" w:eastAsia="zh-CN" w:bidi="ar"/>
        </w:rPr>
      </w:pPr>
    </w:p>
    <w:p w14:paraId="34E00896">
      <w:pPr>
        <w:pStyle w:val="2"/>
        <w:spacing w:line="600" w:lineRule="exact"/>
        <w:rPr>
          <w:rFonts w:hint="eastAsia" w:ascii="仿宋_GB2312" w:eastAsia="仿宋_GB2312" w:cs="仿宋_GB2312"/>
          <w:bCs/>
          <w:color w:val="000000"/>
          <w:kern w:val="2"/>
          <w:sz w:val="32"/>
          <w:szCs w:val="32"/>
          <w:lang w:val="en-US" w:eastAsia="zh-CN" w:bidi="ar"/>
        </w:rPr>
      </w:pPr>
    </w:p>
    <w:p w14:paraId="4200888F">
      <w:pPr>
        <w:pStyle w:val="2"/>
        <w:spacing w:line="600" w:lineRule="exact"/>
        <w:rPr>
          <w:rFonts w:hint="eastAsia" w:ascii="仿宋_GB2312" w:eastAsia="仿宋_GB2312" w:cs="仿宋_GB2312"/>
          <w:bCs/>
          <w:color w:val="000000"/>
          <w:kern w:val="2"/>
          <w:sz w:val="32"/>
          <w:szCs w:val="32"/>
          <w:lang w:val="en-US" w:eastAsia="zh-CN" w:bidi="ar"/>
        </w:rPr>
      </w:pPr>
    </w:p>
    <w:p w14:paraId="09197FFF">
      <w:pPr>
        <w:spacing w:line="600" w:lineRule="exact"/>
        <w:ind w:firstLine="674" w:firstLineChars="200"/>
        <w:rPr>
          <w:rFonts w:hint="eastAsia" w:ascii="仿宋_GB2312" w:eastAsia="仿宋_GB2312" w:cs="仿宋_GB2312"/>
          <w:bCs/>
          <w:color w:val="000000"/>
          <w:kern w:val="2"/>
          <w:sz w:val="32"/>
          <w:szCs w:val="32"/>
          <w:lang w:val="en-US" w:eastAsia="zh-CN" w:bidi="ar"/>
        </w:rPr>
      </w:pPr>
    </w:p>
    <w:p w14:paraId="45E98163">
      <w:pPr>
        <w:spacing w:line="600" w:lineRule="exact"/>
        <w:ind w:firstLine="674" w:firstLineChars="200"/>
        <w:rPr>
          <w:rFonts w:hint="eastAsia" w:ascii="仿宋_GB2312" w:eastAsia="仿宋_GB2312" w:cs="仿宋_GB2312"/>
          <w:bCs/>
          <w:color w:val="000000"/>
          <w:spacing w:val="0"/>
          <w:kern w:val="2"/>
          <w:sz w:val="32"/>
          <w:szCs w:val="32"/>
          <w:lang w:val="en-US" w:eastAsia="zh-CN" w:bidi="ar"/>
        </w:rPr>
      </w:pPr>
      <w:r>
        <w:rPr>
          <w:rFonts w:hint="eastAsia" w:ascii="仿宋_GB2312" w:eastAsia="仿宋_GB2312" w:cs="仿宋_GB2312"/>
          <w:bCs/>
          <w:color w:val="000000"/>
          <w:kern w:val="2"/>
          <w:sz w:val="32"/>
          <w:szCs w:val="32"/>
          <w:lang w:val="en-US" w:eastAsia="zh-CN" w:bidi="ar"/>
        </w:rPr>
        <w:t>福建省科学技术厅</w:t>
      </w:r>
      <w:r>
        <w:rPr>
          <w:rFonts w:hint="eastAsia" w:ascii="仿宋_GB2312" w:eastAsia="仿宋_GB2312" w:cs="仿宋_GB2312"/>
          <w:bCs/>
          <w:color w:val="000000"/>
          <w:kern w:val="2"/>
          <w:sz w:val="32"/>
          <w:szCs w:val="32"/>
          <w:lang w:val="en" w:eastAsia="zh-CN" w:bidi="ar"/>
        </w:rPr>
        <w:t xml:space="preserve">        </w:t>
      </w:r>
      <w:r>
        <w:rPr>
          <w:rFonts w:hint="eastAsia" w:ascii="仿宋_GB2312" w:cs="仿宋_GB2312"/>
          <w:bCs/>
          <w:color w:val="000000"/>
          <w:kern w:val="2"/>
          <w:sz w:val="32"/>
          <w:szCs w:val="32"/>
          <w:lang w:val="en-US" w:eastAsia="zh-CN" w:bidi="ar"/>
        </w:rPr>
        <w:t xml:space="preserve">  </w:t>
      </w:r>
      <w:r>
        <w:rPr>
          <w:rFonts w:hint="eastAsia" w:ascii="仿宋_GB2312" w:eastAsia="仿宋_GB2312" w:cs="仿宋_GB2312"/>
          <w:bCs/>
          <w:color w:val="000000"/>
          <w:kern w:val="2"/>
          <w:sz w:val="32"/>
          <w:szCs w:val="32"/>
          <w:lang w:val="en-US" w:eastAsia="zh-CN" w:bidi="ar"/>
        </w:rPr>
        <w:t>福建省</w:t>
      </w:r>
      <w:r>
        <w:rPr>
          <w:rFonts w:hint="eastAsia" w:ascii="仿宋_GB2312" w:eastAsia="仿宋_GB2312" w:cs="仿宋_GB2312"/>
          <w:bCs/>
          <w:color w:val="000000"/>
          <w:spacing w:val="0"/>
          <w:sz w:val="32"/>
          <w:szCs w:val="32"/>
          <w:lang w:val="en-US" w:eastAsia="zh-CN" w:bidi="ar"/>
        </w:rPr>
        <w:t>发展和改革委员会</w:t>
      </w:r>
    </w:p>
    <w:p w14:paraId="51304CCE">
      <w:pPr>
        <w:keepNext w:val="0"/>
        <w:keepLines w:val="0"/>
        <w:pageBreakBefore w:val="0"/>
        <w:widowControl w:val="0"/>
        <w:kinsoku/>
        <w:wordWrap/>
        <w:overflowPunct/>
        <w:topLinePunct w:val="0"/>
        <w:autoSpaceDE/>
        <w:autoSpaceDN/>
        <w:bidi w:val="0"/>
        <w:adjustRightInd/>
        <w:snapToGrid/>
        <w:spacing w:line="600" w:lineRule="exact"/>
        <w:ind w:right="0" w:firstLine="640"/>
        <w:jc w:val="both"/>
        <w:textAlignment w:val="auto"/>
        <w:rPr>
          <w:rFonts w:hint="eastAsia" w:ascii="仿宋_GB2312" w:eastAsia="仿宋_GB2312" w:cs="仿宋_GB2312"/>
          <w:bCs/>
          <w:color w:val="000000"/>
          <w:spacing w:val="0"/>
          <w:kern w:val="2"/>
          <w:sz w:val="32"/>
          <w:szCs w:val="32"/>
          <w:lang w:val="en-US" w:eastAsia="zh-CN" w:bidi="ar"/>
        </w:rPr>
      </w:pPr>
    </w:p>
    <w:p w14:paraId="300A5FDC">
      <w:pPr>
        <w:pStyle w:val="8"/>
        <w:spacing w:line="600" w:lineRule="exact"/>
        <w:rPr>
          <w:rFonts w:hint="eastAsia" w:ascii="仿宋_GB2312" w:eastAsia="仿宋_GB2312" w:cs="仿宋_GB2312"/>
          <w:bCs/>
          <w:color w:val="000000"/>
          <w:spacing w:val="0"/>
          <w:kern w:val="2"/>
          <w:sz w:val="32"/>
          <w:szCs w:val="32"/>
          <w:lang w:val="en-US" w:eastAsia="zh-CN" w:bidi="ar"/>
        </w:rPr>
      </w:pPr>
    </w:p>
    <w:p w14:paraId="573BAB1E">
      <w:pPr>
        <w:spacing w:line="600" w:lineRule="exact"/>
        <w:rPr>
          <w:rFonts w:hint="eastAsia"/>
          <w:lang w:val="en-US" w:eastAsia="zh-CN"/>
        </w:rPr>
      </w:pPr>
    </w:p>
    <w:p w14:paraId="06CE3681">
      <w:pPr>
        <w:spacing w:line="600" w:lineRule="exact"/>
        <w:ind w:firstLine="674" w:firstLineChars="200"/>
        <w:rPr>
          <w:rFonts w:hint="eastAsia" w:ascii="仿宋_GB2312" w:eastAsia="仿宋_GB2312" w:cs="仿宋_GB2312"/>
          <w:bCs/>
          <w:color w:val="000000"/>
          <w:spacing w:val="0"/>
          <w:kern w:val="2"/>
          <w:sz w:val="32"/>
          <w:szCs w:val="32"/>
          <w:lang w:val="en-US" w:eastAsia="zh-CN" w:bidi="ar"/>
        </w:rPr>
      </w:pPr>
    </w:p>
    <w:p w14:paraId="5A20CE6A">
      <w:pPr>
        <w:spacing w:line="600" w:lineRule="exact"/>
        <w:ind w:firstLine="674" w:firstLineChars="200"/>
        <w:rPr>
          <w:rFonts w:hint="eastAsia" w:ascii="仿宋_GB2312" w:eastAsia="仿宋_GB2312" w:cs="仿宋_GB2312"/>
          <w:bCs/>
          <w:color w:val="000000"/>
          <w:spacing w:val="0"/>
          <w:sz w:val="32"/>
          <w:szCs w:val="32"/>
          <w:lang w:val="en-US" w:eastAsia="zh-CN" w:bidi="ar"/>
        </w:rPr>
      </w:pPr>
      <w:r>
        <w:rPr>
          <w:rFonts w:hint="eastAsia" w:ascii="仿宋_GB2312" w:eastAsia="仿宋_GB2312" w:cs="仿宋_GB2312"/>
          <w:bCs/>
          <w:color w:val="000000"/>
          <w:spacing w:val="0"/>
          <w:kern w:val="2"/>
          <w:sz w:val="32"/>
          <w:szCs w:val="32"/>
          <w:lang w:val="en-US" w:eastAsia="zh-CN" w:bidi="ar"/>
        </w:rPr>
        <w:t>福建省</w:t>
      </w:r>
      <w:r>
        <w:rPr>
          <w:rFonts w:hint="eastAsia" w:ascii="仿宋_GB2312" w:eastAsia="仿宋_GB2312" w:cs="仿宋_GB2312"/>
          <w:bCs/>
          <w:color w:val="000000"/>
          <w:kern w:val="2"/>
          <w:sz w:val="32"/>
          <w:szCs w:val="32"/>
          <w:lang w:val="en-US" w:eastAsia="zh-CN" w:bidi="ar"/>
        </w:rPr>
        <w:t>工业和信息化厅</w:t>
      </w:r>
      <w:r>
        <w:rPr>
          <w:rFonts w:hint="eastAsia" w:ascii="仿宋_GB2312" w:eastAsia="仿宋_GB2312" w:cs="仿宋_GB2312"/>
          <w:bCs/>
          <w:color w:val="000000"/>
          <w:spacing w:val="0"/>
          <w:kern w:val="2"/>
          <w:sz w:val="32"/>
          <w:szCs w:val="32"/>
          <w:lang w:val="en-US" w:eastAsia="zh-CN" w:bidi="ar"/>
        </w:rPr>
        <w:t xml:space="preserve">       </w:t>
      </w:r>
      <w:r>
        <w:rPr>
          <w:rFonts w:hint="eastAsia" w:ascii="仿宋_GB2312" w:eastAsia="仿宋_GB2312" w:cs="仿宋_GB2312"/>
          <w:bCs/>
          <w:color w:val="000000"/>
          <w:spacing w:val="0"/>
          <w:sz w:val="32"/>
          <w:szCs w:val="32"/>
          <w:lang w:val="en-US" w:eastAsia="zh-CN" w:bidi="ar"/>
        </w:rPr>
        <w:t>福建省</w:t>
      </w:r>
      <w:r>
        <w:rPr>
          <w:rFonts w:hint="eastAsia" w:ascii="仿宋_GB2312" w:cs="仿宋_GB2312"/>
          <w:bCs/>
          <w:color w:val="000000"/>
          <w:spacing w:val="0"/>
          <w:sz w:val="32"/>
          <w:szCs w:val="32"/>
          <w:lang w:val="en-US" w:eastAsia="zh-CN" w:bidi="ar"/>
        </w:rPr>
        <w:t>市场监督管理局</w:t>
      </w:r>
    </w:p>
    <w:p w14:paraId="4E98CF62">
      <w:pPr>
        <w:spacing w:line="600" w:lineRule="exact"/>
        <w:ind w:firstLine="640"/>
        <w:rPr>
          <w:rFonts w:hint="eastAsia" w:ascii="仿宋_GB2312" w:eastAsia="仿宋_GB2312" w:cs="仿宋_GB2312"/>
          <w:bCs/>
          <w:color w:val="000000"/>
          <w:sz w:val="32"/>
          <w:szCs w:val="32"/>
          <w:lang w:bidi="ar-SA"/>
        </w:rPr>
      </w:pPr>
      <w:r>
        <w:rPr>
          <w:rFonts w:hint="eastAsia" w:ascii="仿宋_GB2312" w:eastAsia="仿宋_GB2312" w:cs="仿宋_GB2312"/>
          <w:bCs/>
          <w:color w:val="000000"/>
          <w:kern w:val="2"/>
          <w:sz w:val="32"/>
          <w:szCs w:val="32"/>
          <w:lang w:val="en-US" w:eastAsia="zh-CN" w:bidi="ar"/>
        </w:rPr>
        <w:t xml:space="preserve">                    </w:t>
      </w:r>
      <w:r>
        <w:rPr>
          <w:rFonts w:hint="eastAsia" w:ascii="仿宋_GB2312" w:eastAsia="仿宋_GB2312" w:cs="仿宋_GB2312"/>
          <w:bCs/>
          <w:color w:val="000000"/>
          <w:kern w:val="2"/>
          <w:sz w:val="32"/>
          <w:szCs w:val="32"/>
          <w:lang w:val="en" w:eastAsia="zh-CN" w:bidi="ar"/>
        </w:rPr>
        <w:t xml:space="preserve">    </w:t>
      </w:r>
      <w:r>
        <w:rPr>
          <w:rFonts w:hint="eastAsia" w:ascii="仿宋_GB2312" w:eastAsia="仿宋_GB2312" w:cs="仿宋_GB2312"/>
          <w:bCs/>
          <w:color w:val="000000"/>
          <w:kern w:val="2"/>
          <w:sz w:val="32"/>
          <w:szCs w:val="32"/>
          <w:lang w:val="en-US" w:eastAsia="zh-CN" w:bidi="ar"/>
        </w:rPr>
        <w:t xml:space="preserve">   </w:t>
      </w:r>
      <w:r>
        <w:rPr>
          <w:rFonts w:hint="eastAsia" w:ascii="仿宋_GB2312" w:cs="仿宋_GB2312"/>
          <w:bCs/>
          <w:color w:val="000000"/>
          <w:kern w:val="2"/>
          <w:sz w:val="32"/>
          <w:szCs w:val="32"/>
          <w:lang w:val="en-US" w:eastAsia="zh-CN" w:bidi="ar"/>
        </w:rPr>
        <w:t xml:space="preserve"> </w:t>
      </w:r>
      <w:r>
        <w:rPr>
          <w:rFonts w:hint="eastAsia" w:ascii="仿宋_GB2312" w:eastAsia="仿宋_GB2312" w:cs="仿宋_GB2312"/>
          <w:bCs/>
          <w:color w:val="000000"/>
          <w:kern w:val="2"/>
          <w:sz w:val="32"/>
          <w:szCs w:val="32"/>
          <w:lang w:val="en-US" w:eastAsia="zh-CN" w:bidi="ar"/>
        </w:rPr>
        <w:t xml:space="preserve">  </w:t>
      </w:r>
      <w:r>
        <w:rPr>
          <w:rFonts w:hint="eastAsia" w:ascii="仿宋_GB2312" w:cs="仿宋_GB2312"/>
          <w:bCs/>
          <w:color w:val="000000"/>
          <w:kern w:val="2"/>
          <w:sz w:val="32"/>
          <w:szCs w:val="32"/>
          <w:lang w:val="en-US" w:eastAsia="zh-CN" w:bidi="ar"/>
        </w:rPr>
        <w:t>2026</w:t>
      </w:r>
      <w:r>
        <w:rPr>
          <w:rFonts w:hint="eastAsia" w:ascii="仿宋_GB2312" w:eastAsia="仿宋_GB2312" w:cs="仿宋_GB2312"/>
          <w:bCs/>
          <w:color w:val="000000"/>
          <w:kern w:val="2"/>
          <w:sz w:val="32"/>
          <w:szCs w:val="32"/>
          <w:lang w:val="en-US" w:eastAsia="zh-CN" w:bidi="ar"/>
        </w:rPr>
        <w:t>年</w:t>
      </w:r>
      <w:r>
        <w:rPr>
          <w:rFonts w:hint="eastAsia" w:ascii="仿宋_GB2312" w:cs="仿宋_GB2312"/>
          <w:bCs/>
          <w:color w:val="000000"/>
          <w:kern w:val="2"/>
          <w:sz w:val="32"/>
          <w:szCs w:val="32"/>
          <w:lang w:val="en-US" w:eastAsia="zh-CN" w:bidi="ar"/>
        </w:rPr>
        <w:t>11</w:t>
      </w:r>
      <w:r>
        <w:rPr>
          <w:rFonts w:hint="eastAsia" w:ascii="仿宋_GB2312" w:eastAsia="仿宋_GB2312" w:cs="仿宋_GB2312"/>
          <w:bCs/>
          <w:color w:val="000000"/>
          <w:kern w:val="2"/>
          <w:sz w:val="32"/>
          <w:szCs w:val="32"/>
          <w:lang w:val="en-US" w:eastAsia="zh-CN" w:bidi="ar"/>
        </w:rPr>
        <w:t>月</w:t>
      </w:r>
      <w:r>
        <w:rPr>
          <w:rFonts w:hint="eastAsia" w:ascii="仿宋_GB2312" w:cs="仿宋_GB2312"/>
          <w:bCs/>
          <w:color w:val="000000"/>
          <w:kern w:val="2"/>
          <w:sz w:val="32"/>
          <w:szCs w:val="32"/>
          <w:lang w:val="en-US" w:eastAsia="zh-CN" w:bidi="ar"/>
        </w:rPr>
        <w:t>5</w:t>
      </w:r>
      <w:r>
        <w:rPr>
          <w:rFonts w:hint="eastAsia" w:ascii="仿宋_GB2312" w:eastAsia="仿宋_GB2312" w:cs="仿宋_GB2312"/>
          <w:bCs/>
          <w:color w:val="000000"/>
          <w:kern w:val="2"/>
          <w:sz w:val="32"/>
          <w:szCs w:val="32"/>
          <w:lang w:val="en-US" w:eastAsia="zh-CN" w:bidi="ar"/>
        </w:rPr>
        <w:t>日</w:t>
      </w:r>
    </w:p>
    <w:p w14:paraId="31938843">
      <w:pPr>
        <w:keepNext w:val="0"/>
        <w:keepLines w:val="0"/>
        <w:pageBreakBefore w:val="0"/>
        <w:widowControl w:val="0"/>
        <w:kinsoku/>
        <w:wordWrap/>
        <w:overflowPunct/>
        <w:topLinePunct w:val="0"/>
        <w:autoSpaceDE/>
        <w:autoSpaceDN/>
        <w:bidi w:val="0"/>
        <w:adjustRightInd/>
        <w:spacing w:line="600" w:lineRule="exact"/>
        <w:ind w:firstLine="674" w:firstLineChars="200"/>
        <w:textAlignment w:val="auto"/>
        <w:rPr>
          <w:rFonts w:hint="eastAsia" w:ascii="仿宋_GB2312" w:eastAsia="仿宋_GB2312" w:cs="仿宋_GB2312"/>
          <w:bCs/>
          <w:color w:val="000000"/>
          <w:szCs w:val="32"/>
          <w:lang w:bidi="ar-SA"/>
        </w:rPr>
      </w:pPr>
      <w:r>
        <w:rPr>
          <w:rFonts w:hint="eastAsia" w:ascii="仿宋_GB2312" w:eastAsia="仿宋_GB2312" w:cs="仿宋_GB2312"/>
          <w:bCs/>
          <w:color w:val="000000"/>
          <w:szCs w:val="32"/>
          <w:lang w:bidi="ar-SA"/>
        </w:rPr>
        <w:t>（此件</w:t>
      </w:r>
      <w:r>
        <w:rPr>
          <w:rFonts w:hint="eastAsia" w:ascii="仿宋_GB2312" w:eastAsia="仿宋_GB2312" w:cs="仿宋_GB2312"/>
          <w:bCs/>
          <w:color w:val="000000"/>
          <w:szCs w:val="32"/>
          <w:lang w:eastAsia="zh-CN" w:bidi="ar-SA"/>
        </w:rPr>
        <w:t>主动公开</w:t>
      </w:r>
      <w:r>
        <w:rPr>
          <w:rFonts w:hint="eastAsia" w:ascii="仿宋_GB2312" w:eastAsia="仿宋_GB2312" w:cs="仿宋_GB2312"/>
          <w:bCs/>
          <w:color w:val="000000"/>
          <w:szCs w:val="32"/>
          <w:lang w:bidi="ar-SA"/>
        </w:rPr>
        <w:t>）</w:t>
      </w:r>
    </w:p>
    <w:p w14:paraId="7CD78562">
      <w:pPr>
        <w:spacing w:line="600" w:lineRule="exact"/>
        <w:ind w:firstLine="640"/>
        <w:rPr>
          <w:rFonts w:hint="eastAsia" w:ascii="仿宋_GB2312" w:eastAsia="仿宋_GB2312" w:cs="仿宋_GB2312"/>
          <w:bCs/>
          <w:color w:val="000000"/>
          <w:sz w:val="32"/>
          <w:szCs w:val="32"/>
          <w:lang w:bidi="ar-SA"/>
        </w:rPr>
      </w:pPr>
    </w:p>
    <w:p w14:paraId="52E28353">
      <w:pPr>
        <w:keepNext w:val="0"/>
        <w:keepLines w:val="0"/>
        <w:pageBreakBefore w:val="0"/>
        <w:widowControl w:val="0"/>
        <w:kinsoku/>
        <w:wordWrap/>
        <w:overflowPunct/>
        <w:topLinePunct w:val="0"/>
        <w:autoSpaceDE/>
        <w:autoSpaceDN/>
        <w:bidi w:val="0"/>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仿宋_GB2312" w:eastAsia="仿宋_GB2312" w:cs="仿宋_GB2312"/>
          <w:color w:val="auto"/>
          <w:spacing w:val="0"/>
          <w:sz w:val="32"/>
          <w:szCs w:val="32"/>
          <w:highlight w:val="none"/>
          <w:u w:val="none"/>
          <w:shd w:val="clear" w:color="auto" w:fill="FFFFFF"/>
          <w:lang w:val="en-US" w:eastAsia="zh-CN" w:bidi="ar-SA"/>
        </w:rPr>
        <w:br w:type="page"/>
      </w:r>
      <w:r>
        <w:rPr>
          <w:rFonts w:hint="eastAsia" w:ascii="方正小标宋简体" w:hAnsi="方正小标宋简体" w:eastAsia="方正小标宋简体" w:cs="方正小标宋简体"/>
          <w:sz w:val="44"/>
          <w:szCs w:val="44"/>
          <w:lang w:val="en-US" w:eastAsia="zh-CN"/>
        </w:rPr>
        <w:t>关于推进科技服务业扩能提质</w:t>
      </w:r>
    </w:p>
    <w:p w14:paraId="4E6E0CE2">
      <w:pPr>
        <w:keepNext w:val="0"/>
        <w:keepLines w:val="0"/>
        <w:pageBreakBefore w:val="0"/>
        <w:widowControl w:val="0"/>
        <w:kinsoku/>
        <w:wordWrap/>
        <w:overflowPunct/>
        <w:topLinePunct w:val="0"/>
        <w:autoSpaceDE/>
        <w:autoSpaceDN/>
        <w:bidi w:val="0"/>
        <w:spacing w:line="560" w:lineRule="exact"/>
        <w:ind w:left="0" w:leftChars="0" w:firstLine="3199" w:firstLineChars="700"/>
        <w:jc w:val="both"/>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的若干措施</w:t>
      </w:r>
    </w:p>
    <w:p w14:paraId="23FD9D45">
      <w:pPr>
        <w:pStyle w:val="2"/>
        <w:keepNext w:val="0"/>
        <w:keepLines w:val="0"/>
        <w:pageBreakBefore w:val="0"/>
        <w:widowControl w:val="0"/>
        <w:kinsoku/>
        <w:wordWrap/>
        <w:overflowPunct/>
        <w:topLinePunct w:val="0"/>
        <w:autoSpaceDE/>
        <w:autoSpaceDN/>
        <w:bidi w:val="0"/>
        <w:spacing w:line="560" w:lineRule="exact"/>
        <w:textAlignment w:val="auto"/>
        <w:rPr>
          <w:rFonts w:hint="eastAsia"/>
          <w:lang w:val="en-US" w:eastAsia="zh-CN"/>
        </w:rPr>
      </w:pPr>
    </w:p>
    <w:p w14:paraId="3C343FE7">
      <w:pPr>
        <w:keepNext w:val="0"/>
        <w:keepLines w:val="0"/>
        <w:pageBreakBefore w:val="0"/>
        <w:widowControl w:val="0"/>
        <w:kinsoku/>
        <w:wordWrap/>
        <w:overflowPunct/>
        <w:topLinePunct w:val="0"/>
        <w:autoSpaceDE/>
        <w:autoSpaceDN/>
        <w:bidi w:val="0"/>
        <w:spacing w:line="560" w:lineRule="exact"/>
        <w:ind w:firstLine="674"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auto"/>
          <w:sz w:val="32"/>
          <w:szCs w:val="32"/>
          <w:shd w:val="clear" w:color="auto" w:fill="auto"/>
          <w:lang w:val="en-US" w:eastAsia="zh-CN" w:bidi="ar"/>
        </w:rPr>
        <w:t>为深入贯彻习近平总书记关于服务业发展的重要指示和全国服务业大会精神，落实党中央、国务院关于推进服务业扩能提质的决策部署和省委、省政府工作要求，</w:t>
      </w:r>
      <w:r>
        <w:rPr>
          <w:rFonts w:hint="eastAsia" w:ascii="仿宋_GB2312" w:hAnsi="仿宋_GB2312" w:eastAsia="仿宋_GB2312" w:cs="仿宋_GB2312"/>
          <w:i w:val="0"/>
          <w:caps w:val="0"/>
          <w:color w:val="auto"/>
          <w:spacing w:val="0"/>
          <w:kern w:val="2"/>
          <w:sz w:val="32"/>
          <w:szCs w:val="32"/>
          <w:shd w:val="clear" w:color="auto" w:fill="auto"/>
          <w:lang w:val="en-US" w:eastAsia="zh-CN" w:bidi="ar"/>
        </w:rPr>
        <w:t>促进科技服务业优质高效发展，</w:t>
      </w:r>
      <w:r>
        <w:rPr>
          <w:rFonts w:hint="eastAsia" w:ascii="仿宋_GB2312" w:hAnsi="仿宋_GB2312" w:eastAsia="仿宋_GB2312" w:cs="仿宋_GB2312"/>
          <w:color w:val="auto"/>
          <w:kern w:val="2"/>
          <w:sz w:val="32"/>
          <w:szCs w:val="32"/>
          <w:shd w:val="clear" w:color="auto" w:fill="auto"/>
          <w:lang w:val="en-US" w:eastAsia="zh-CN" w:bidi="ar"/>
        </w:rPr>
        <w:t>更好地支撑服务全省产业转型升级和创新驱动发展，</w:t>
      </w:r>
      <w:r>
        <w:rPr>
          <w:rFonts w:hint="eastAsia" w:ascii="仿宋_GB2312" w:hAnsi="仿宋_GB2312" w:eastAsia="仿宋_GB2312" w:cs="仿宋_GB2312"/>
          <w:sz w:val="32"/>
          <w:szCs w:val="32"/>
          <w:lang w:val="en-US" w:eastAsia="zh-CN"/>
        </w:rPr>
        <w:t>力争到2030年，全省规上科技服务业企业营收突破</w:t>
      </w:r>
      <w:r>
        <w:rPr>
          <w:rFonts w:hint="eastAsia" w:ascii="仿宋_GB2312" w:hAnsi="仿宋_GB2312" w:eastAsia="仿宋_GB2312" w:cs="仿宋_GB2312"/>
          <w:sz w:val="32"/>
          <w:szCs w:val="32"/>
          <w:highlight w:val="none"/>
          <w:lang w:val="en-US" w:eastAsia="zh-CN"/>
        </w:rPr>
        <w:t>550亿元</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现围绕研发设计、工业设计、知识产权、检验检测、技术转移、创业孵化等科技服务业重点领域，</w:t>
      </w:r>
      <w:r>
        <w:rPr>
          <w:rFonts w:hint="eastAsia" w:ascii="仿宋_GB2312" w:hAnsi="仿宋_GB2312" w:eastAsia="仿宋_GB2312" w:cs="仿宋_GB2312"/>
          <w:sz w:val="32"/>
          <w:szCs w:val="32"/>
          <w:lang w:val="en-US" w:eastAsia="zh-CN"/>
        </w:rPr>
        <w:t>制定以下措施。</w:t>
      </w:r>
    </w:p>
    <w:p w14:paraId="7E490718">
      <w:pPr>
        <w:keepNext w:val="0"/>
        <w:keepLines w:val="0"/>
        <w:pageBreakBefore w:val="0"/>
        <w:widowControl w:val="0"/>
        <w:kinsoku/>
        <w:wordWrap/>
        <w:overflowPunct/>
        <w:topLinePunct w:val="0"/>
        <w:autoSpaceDE/>
        <w:autoSpaceDN/>
        <w:bidi w:val="0"/>
        <w:spacing w:line="560" w:lineRule="exact"/>
        <w:ind w:firstLine="674"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一、培育壮大市场主体，扩大科技服务供给</w:t>
      </w:r>
    </w:p>
    <w:p w14:paraId="487FFBB1">
      <w:pPr>
        <w:keepNext w:val="0"/>
        <w:keepLines w:val="0"/>
        <w:pageBreakBefore w:val="0"/>
        <w:widowControl w:val="0"/>
        <w:kinsoku/>
        <w:wordWrap/>
        <w:overflowPunct/>
        <w:topLinePunct w:val="0"/>
        <w:autoSpaceDE/>
        <w:autoSpaceDN/>
        <w:bidi w:val="0"/>
        <w:spacing w:line="560" w:lineRule="exact"/>
        <w:ind w:firstLine="674" w:firstLineChars="200"/>
        <w:jc w:val="lef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sz w:val="32"/>
          <w:szCs w:val="32"/>
          <w:lang w:val="en-US" w:eastAsia="zh-CN"/>
        </w:rPr>
        <w:t>（一）实施科技服务机构培优行动</w:t>
      </w:r>
    </w:p>
    <w:p w14:paraId="50F077F4">
      <w:pPr>
        <w:keepNext w:val="0"/>
        <w:keepLines w:val="0"/>
        <w:pageBreakBefore w:val="0"/>
        <w:widowControl w:val="0"/>
        <w:kinsoku/>
        <w:wordWrap/>
        <w:overflowPunct/>
        <w:topLinePunct w:val="0"/>
        <w:autoSpaceDE/>
        <w:autoSpaceDN/>
        <w:bidi w:val="0"/>
        <w:spacing w:line="560" w:lineRule="exact"/>
        <w:ind w:left="0" w:leftChars="0" w:firstLine="674"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
        </w:rPr>
        <w:t>建立科技服务业企业梯度培育信息库，</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color w:val="auto"/>
          <w:kern w:val="2"/>
          <w:sz w:val="32"/>
          <w:szCs w:val="32"/>
          <w:u w:val="none"/>
          <w:lang w:val="en-US" w:eastAsia="zh-CN" w:bidi="ar"/>
        </w:rPr>
        <w:t>符合条件的</w:t>
      </w:r>
      <w:r>
        <w:rPr>
          <w:rFonts w:hint="eastAsia" w:ascii="仿宋_GB2312" w:hAnsi="仿宋_GB2312" w:eastAsia="仿宋_GB2312" w:cs="仿宋_GB2312"/>
          <w:sz w:val="32"/>
          <w:szCs w:val="32"/>
          <w:lang w:val="en-US" w:eastAsia="zh-CN"/>
        </w:rPr>
        <w:t>科技服务业企业申请省级科技创新券补助</w:t>
      </w:r>
      <w:r>
        <w:rPr>
          <w:rFonts w:hint="eastAsia" w:ascii="仿宋_GB2312" w:hAnsi="仿宋_GB2312" w:eastAsia="仿宋_GB2312" w:cs="仿宋_GB2312"/>
          <w:color w:val="auto"/>
          <w:kern w:val="2"/>
          <w:sz w:val="32"/>
          <w:szCs w:val="32"/>
          <w:u w:val="none"/>
          <w:lang w:val="en-US" w:eastAsia="zh-CN" w:bidi="ar"/>
        </w:rPr>
        <w:t>，强化对科技服务业企业的引导支持。</w:t>
      </w:r>
      <w:r>
        <w:rPr>
          <w:rFonts w:hint="eastAsia" w:ascii="仿宋_GB2312" w:hAnsi="仿宋_GB2312" w:eastAsia="仿宋_GB2312" w:cs="仿宋_GB2312"/>
          <w:b w:val="0"/>
          <w:bCs w:val="0"/>
          <w:color w:val="auto"/>
          <w:sz w:val="32"/>
          <w:szCs w:val="32"/>
          <w:lang w:val="en-US" w:eastAsia="zh-CN"/>
        </w:rPr>
        <w:t>鼓励优势企业加强新赛道新领域前瞻布局，通过交叉持股、并购重组、战略合作等方式做优做强，打造具有影响力的科技服务品牌。</w:t>
      </w:r>
      <w:r>
        <w:rPr>
          <w:rFonts w:hint="eastAsia" w:ascii="仿宋_GB2312" w:hAnsi="仿宋_GB2312" w:eastAsia="仿宋_GB2312" w:cs="仿宋_GB2312"/>
          <w:color w:val="auto"/>
          <w:sz w:val="32"/>
          <w:szCs w:val="32"/>
          <w:lang w:val="en-US" w:eastAsia="zh-CN"/>
        </w:rPr>
        <w:t>非科技服务业企业将研发设计、检验检测等服务环节剥离，设立独立法人性质的科技服务业企业，符合条件的，一并纳入技术转移</w:t>
      </w:r>
      <w:r>
        <w:rPr>
          <w:rFonts w:hint="eastAsia" w:ascii="仿宋_GB2312" w:hAnsi="仿宋_GB2312" w:eastAsia="仿宋_GB2312" w:cs="仿宋_GB2312"/>
          <w:color w:val="auto"/>
          <w:sz w:val="32"/>
          <w:szCs w:val="32"/>
          <w:u w:val="none"/>
          <w:lang w:val="en-US" w:eastAsia="zh-CN" w:bidi="ar"/>
        </w:rPr>
        <w:t>公共服务平台</w:t>
      </w:r>
      <w:r>
        <w:rPr>
          <w:rFonts w:hint="eastAsia" w:ascii="仿宋_GB2312" w:hAnsi="仿宋_GB2312" w:eastAsia="仿宋_GB2312" w:cs="仿宋_GB2312"/>
          <w:color w:val="auto"/>
          <w:sz w:val="32"/>
          <w:szCs w:val="32"/>
          <w:lang w:val="en-US" w:eastAsia="zh-CN"/>
        </w:rPr>
        <w:t>等专项政策</w:t>
      </w:r>
      <w:r>
        <w:rPr>
          <w:rFonts w:hint="eastAsia" w:ascii="仿宋_GB2312" w:hAnsi="仿宋_GB2312" w:eastAsia="仿宋_GB2312" w:cs="仿宋_GB2312"/>
          <w:color w:val="auto"/>
          <w:kern w:val="2"/>
          <w:sz w:val="32"/>
          <w:szCs w:val="32"/>
          <w:lang w:val="en-US" w:eastAsia="zh-CN" w:bidi="ar"/>
        </w:rPr>
        <w:t>予以支持。鼓励各地因地制宜招引优质科技服务</w:t>
      </w:r>
      <w:r>
        <w:rPr>
          <w:rFonts w:hint="eastAsia" w:ascii="仿宋_GB2312" w:hAnsi="仿宋_GB2312" w:cs="仿宋_GB2312"/>
          <w:color w:val="auto"/>
          <w:kern w:val="2"/>
          <w:sz w:val="32"/>
          <w:szCs w:val="32"/>
          <w:lang w:val="en-US" w:eastAsia="zh-CN" w:bidi="ar"/>
        </w:rPr>
        <w:t>业</w:t>
      </w:r>
      <w:r>
        <w:rPr>
          <w:rFonts w:hint="eastAsia" w:ascii="仿宋_GB2312" w:hAnsi="仿宋_GB2312" w:eastAsia="仿宋_GB2312" w:cs="仿宋_GB2312"/>
          <w:color w:val="auto"/>
          <w:kern w:val="2"/>
          <w:sz w:val="32"/>
          <w:szCs w:val="32"/>
          <w:lang w:val="en-US" w:eastAsia="zh-CN" w:bidi="ar"/>
        </w:rPr>
        <w:t>企业，补齐区域科技服务短板。</w:t>
      </w:r>
      <w:r>
        <w:rPr>
          <w:rFonts w:hint="eastAsia" w:ascii="仿宋_GB2312" w:hAnsi="仿宋_GB2312" w:eastAsia="仿宋_GB2312" w:cs="仿宋_GB2312"/>
          <w:color w:val="auto"/>
          <w:sz w:val="32"/>
          <w:szCs w:val="32"/>
          <w:lang w:val="en-US" w:eastAsia="zh-CN"/>
        </w:rPr>
        <w:t>至2030年，全省规上科技服务业企业达800家。</w:t>
      </w:r>
      <w:r>
        <w:rPr>
          <w:rFonts w:hint="eastAsia" w:ascii="楷体_GB2312" w:hAnsi="楷体_GB2312" w:eastAsia="楷体_GB2312" w:cs="楷体_GB2312"/>
          <w:color w:val="auto"/>
          <w:sz w:val="32"/>
          <w:szCs w:val="32"/>
          <w:lang w:val="en-US" w:eastAsia="zh-CN"/>
        </w:rPr>
        <w:t>（责任单位：省科技厅、发改委、教育厅、工信厅、财政厅、市场监管局，</w:t>
      </w:r>
      <w:r>
        <w:rPr>
          <w:rFonts w:hint="eastAsia" w:ascii="楷体_GB2312" w:hAnsi="楷体_GB2312" w:eastAsia="楷体_GB2312" w:cs="楷体_GB2312"/>
          <w:b w:val="0"/>
          <w:bCs w:val="0"/>
          <w:i w:val="0"/>
          <w:iCs w:val="0"/>
          <w:color w:val="auto"/>
          <w:sz w:val="32"/>
          <w:szCs w:val="32"/>
          <w:lang w:val="en-US" w:eastAsia="zh-CN"/>
        </w:rPr>
        <w:t>各设区市、平潭综合实验区相关部门</w:t>
      </w:r>
      <w:r>
        <w:rPr>
          <w:rFonts w:hint="eastAsia" w:ascii="楷体_GB2312" w:hAnsi="楷体_GB2312" w:eastAsia="楷体_GB2312" w:cs="楷体_GB2312"/>
          <w:color w:val="auto"/>
          <w:sz w:val="32"/>
          <w:szCs w:val="32"/>
          <w:lang w:val="en-US" w:eastAsia="zh-CN"/>
        </w:rPr>
        <w:t>按各自职责分工落实。</w:t>
      </w:r>
      <w:r>
        <w:rPr>
          <w:rFonts w:hint="eastAsia" w:ascii="楷体_GB2312" w:hAnsi="楷体_GB2312" w:eastAsia="楷体_GB2312" w:cs="楷体_GB2312"/>
          <w:b w:val="0"/>
          <w:bCs w:val="0"/>
          <w:i w:val="0"/>
          <w:iCs w:val="0"/>
          <w:caps w:val="0"/>
          <w:color w:val="auto"/>
          <w:spacing w:val="0"/>
          <w:kern w:val="2"/>
          <w:sz w:val="32"/>
          <w:szCs w:val="32"/>
          <w:shd w:val="clear" w:color="auto" w:fill="auto"/>
          <w:lang w:val="en-US" w:eastAsia="zh-CN" w:bidi="ar"/>
        </w:rPr>
        <w:t>以下均需各设区市、平潭综合实验区相关部门落实，不再列</w:t>
      </w:r>
      <w:r>
        <w:rPr>
          <w:rFonts w:hint="eastAsia" w:ascii="楷体_GB2312" w:hAnsi="楷体_GB2312" w:eastAsia="楷体_GB2312" w:cs="楷体_GB2312"/>
          <w:i w:val="0"/>
          <w:iCs w:val="0"/>
          <w:caps w:val="0"/>
          <w:color w:val="auto"/>
          <w:spacing w:val="0"/>
          <w:kern w:val="2"/>
          <w:sz w:val="32"/>
          <w:szCs w:val="32"/>
          <w:shd w:val="clear" w:color="auto" w:fill="auto"/>
          <w:lang w:val="en-US" w:eastAsia="zh-CN" w:bidi="ar"/>
        </w:rPr>
        <w:t>出</w:t>
      </w:r>
      <w:r>
        <w:rPr>
          <w:rFonts w:hint="eastAsia" w:ascii="楷体_GB2312" w:hAnsi="楷体_GB2312" w:eastAsia="楷体_GB2312" w:cs="楷体_GB2312"/>
          <w:color w:val="auto"/>
          <w:sz w:val="32"/>
          <w:szCs w:val="32"/>
          <w:lang w:val="en-US" w:eastAsia="zh-CN"/>
        </w:rPr>
        <w:t>）</w:t>
      </w:r>
    </w:p>
    <w:p w14:paraId="48F95F6C">
      <w:pPr>
        <w:keepNext w:val="0"/>
        <w:keepLines w:val="0"/>
        <w:pageBreakBefore w:val="0"/>
        <w:widowControl w:val="0"/>
        <w:kinsoku/>
        <w:wordWrap/>
        <w:overflowPunct/>
        <w:topLinePunct w:val="0"/>
        <w:autoSpaceDE/>
        <w:autoSpaceDN/>
        <w:bidi w:val="0"/>
        <w:spacing w:line="560" w:lineRule="exact"/>
        <w:ind w:left="0" w:leftChars="0" w:firstLine="674"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（二）培育科技服务业新模式新业态</w:t>
      </w:r>
    </w:p>
    <w:p w14:paraId="31DEC45E">
      <w:pPr>
        <w:keepNext w:val="0"/>
        <w:keepLines w:val="0"/>
        <w:pageBreakBefore w:val="0"/>
        <w:widowControl w:val="0"/>
        <w:numPr>
          <w:ilvl w:val="0"/>
          <w:numId w:val="0"/>
        </w:numPr>
        <w:suppressLineNumbers w:val="0"/>
        <w:kinsoku/>
        <w:wordWrap/>
        <w:overflowPunct/>
        <w:topLinePunct w:val="0"/>
        <w:autoSpaceDE/>
        <w:autoSpaceDN/>
        <w:bidi w:val="0"/>
        <w:spacing w:line="560" w:lineRule="exact"/>
        <w:ind w:firstLine="674"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bidi="ar"/>
        </w:rPr>
        <w:t>积极引导科技服务业企业依托人工智能、数字孪生等新一代信息技术，培育数字化研发协同、共享科研、数据资产服务等新兴业态。</w:t>
      </w:r>
      <w:r>
        <w:rPr>
          <w:rFonts w:hint="eastAsia" w:ascii="仿宋_GB2312" w:hAnsi="仿宋_GB2312" w:eastAsia="仿宋_GB2312" w:cs="仿宋_GB2312"/>
          <w:color w:val="auto"/>
          <w:sz w:val="32"/>
          <w:szCs w:val="32"/>
          <w:u w:val="none"/>
          <w:lang w:val="en-US" w:eastAsia="zh-CN" w:bidi="ar"/>
        </w:rPr>
        <w:t>打造“AI+科技服务”应用场景，</w:t>
      </w:r>
      <w:r>
        <w:rPr>
          <w:rFonts w:hint="eastAsia" w:ascii="仿宋_GB2312" w:hAnsi="仿宋_GB2312" w:eastAsia="仿宋_GB2312" w:cs="仿宋_GB2312"/>
          <w:sz w:val="32"/>
          <w:szCs w:val="32"/>
          <w:lang w:val="en-US" w:eastAsia="zh-CN" w:bidi="ar"/>
        </w:rPr>
        <w:t>鼓励科技服务业企业</w:t>
      </w:r>
      <w:r>
        <w:rPr>
          <w:rFonts w:hint="eastAsia" w:ascii="仿宋_GB2312" w:hAnsi="仿宋_GB2312" w:eastAsia="仿宋_GB2312" w:cs="仿宋_GB2312"/>
          <w:sz w:val="32"/>
          <w:szCs w:val="32"/>
          <w:u w:val="none"/>
          <w:lang w:val="en-US" w:eastAsia="zh-CN" w:bidi="ar"/>
        </w:rPr>
        <w:t>运用先进技术打造高附加值“硬核服务”，</w:t>
      </w:r>
      <w:r>
        <w:rPr>
          <w:rFonts w:hint="eastAsia" w:ascii="仿宋_GB2312" w:hAnsi="仿宋_GB2312" w:eastAsia="仿宋_GB2312" w:cs="仿宋_GB2312"/>
          <w:kern w:val="2"/>
          <w:sz w:val="32"/>
          <w:szCs w:val="32"/>
          <w:lang w:val="en-US" w:eastAsia="zh-CN" w:bidi="ar"/>
        </w:rPr>
        <w:t>强化</w:t>
      </w:r>
      <w:r>
        <w:rPr>
          <w:rFonts w:hint="eastAsia" w:ascii="仿宋_GB2312" w:hAnsi="仿宋_GB2312" w:eastAsia="仿宋_GB2312" w:cs="仿宋_GB2312"/>
          <w:color w:val="auto"/>
          <w:kern w:val="2"/>
          <w:sz w:val="32"/>
          <w:szCs w:val="32"/>
          <w:u w:val="none"/>
          <w:lang w:val="en-US" w:eastAsia="zh-CN" w:bidi="ar"/>
        </w:rPr>
        <w:t>研发设计智能化一体化</w:t>
      </w:r>
      <w:r>
        <w:rPr>
          <w:rFonts w:hint="eastAsia" w:ascii="仿宋_GB2312" w:hAnsi="仿宋_GB2312" w:eastAsia="仿宋_GB2312" w:cs="仿宋_GB2312"/>
          <w:kern w:val="2"/>
          <w:sz w:val="32"/>
          <w:szCs w:val="32"/>
          <w:lang w:val="en-US" w:eastAsia="zh-CN" w:bidi="ar"/>
        </w:rPr>
        <w:t>全栈式服务供给能力。</w:t>
      </w:r>
      <w:r>
        <w:rPr>
          <w:rFonts w:hint="eastAsia" w:ascii="仿宋_GB2312" w:hAnsi="仿宋_GB2312" w:eastAsia="仿宋_GB2312" w:cs="仿宋_GB2312"/>
          <w:color w:val="auto"/>
          <w:sz w:val="32"/>
          <w:szCs w:val="32"/>
          <w:lang w:val="en-US" w:eastAsia="zh-CN" w:bidi="ar"/>
        </w:rPr>
        <w:t>支持各地培育发展一人公司（OPC）等科技服务业新模式，</w:t>
      </w:r>
      <w:r>
        <w:rPr>
          <w:rFonts w:hint="eastAsia" w:ascii="仿宋_GB2312" w:hAnsi="仿宋_GB2312" w:eastAsia="仿宋_GB2312" w:cs="仿宋_GB2312"/>
          <w:i w:val="0"/>
          <w:iCs w:val="0"/>
          <w:color w:val="auto"/>
          <w:sz w:val="32"/>
          <w:szCs w:val="32"/>
          <w:lang w:val="en-US" w:eastAsia="zh-CN" w:bidi="ar"/>
        </w:rPr>
        <w:t>推动</w:t>
      </w:r>
      <w:r>
        <w:rPr>
          <w:rFonts w:hint="eastAsia" w:ascii="仿宋_GB2312" w:hAnsi="仿宋_GB2312" w:eastAsia="仿宋_GB2312" w:cs="仿宋_GB2312"/>
          <w:color w:val="auto"/>
          <w:sz w:val="32"/>
          <w:szCs w:val="32"/>
          <w:lang w:val="en-US" w:eastAsia="zh-CN" w:bidi="ar"/>
        </w:rPr>
        <w:t>智算中心建设，加大企业购买算力服务支持力度，培育科技服务业新增长点。</w:t>
      </w:r>
      <w:r>
        <w:rPr>
          <w:rFonts w:hint="eastAsia" w:ascii="楷体_GB2312" w:hAnsi="楷体_GB2312" w:eastAsia="楷体_GB2312" w:cs="楷体_GB2312"/>
          <w:color w:val="auto"/>
          <w:sz w:val="32"/>
          <w:szCs w:val="32"/>
          <w:lang w:val="en-US" w:eastAsia="zh-CN"/>
        </w:rPr>
        <w:t>（责任单位：省发改委、科技厅、工信厅、市场监管局）</w:t>
      </w:r>
    </w:p>
    <w:p w14:paraId="7AE1AC74">
      <w:pPr>
        <w:keepNext w:val="0"/>
        <w:keepLines w:val="0"/>
        <w:pageBreakBefore w:val="0"/>
        <w:widowControl w:val="0"/>
        <w:numPr>
          <w:ilvl w:val="0"/>
          <w:numId w:val="0"/>
        </w:numPr>
        <w:suppressLineNumbers w:val="0"/>
        <w:kinsoku/>
        <w:wordWrap/>
        <w:overflowPunct/>
        <w:topLinePunct w:val="0"/>
        <w:autoSpaceDE/>
        <w:autoSpaceDN/>
        <w:bidi w:val="0"/>
        <w:spacing w:line="560" w:lineRule="exact"/>
        <w:ind w:firstLine="674"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（三）强化科技服务业统计监测</w:t>
      </w:r>
    </w:p>
    <w:p w14:paraId="4635C197">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仿宋_GB2312" w:hAnsi="仿宋_GB2312" w:eastAsia="仿宋_GB2312" w:cs="仿宋_GB2312"/>
          <w:sz w:val="32"/>
          <w:szCs w:val="32"/>
          <w:lang w:val="en-US" w:eastAsia="zh-CN"/>
        </w:rPr>
        <w:t>建立科技服务业统计调查</w:t>
      </w:r>
      <w:r>
        <w:rPr>
          <w:rFonts w:hint="eastAsia" w:ascii="仿宋_GB2312" w:hAnsi="仿宋_GB2312" w:cs="仿宋_GB2312"/>
          <w:sz w:val="32"/>
          <w:szCs w:val="32"/>
          <w:lang w:val="en-US" w:eastAsia="zh-CN"/>
        </w:rPr>
        <w:t>联络机制</w:t>
      </w:r>
      <w:r>
        <w:rPr>
          <w:rFonts w:hint="eastAsia" w:ascii="仿宋_GB2312" w:hAnsi="仿宋_GB2312" w:eastAsia="仿宋_GB2312" w:cs="仿宋_GB2312"/>
          <w:sz w:val="32"/>
          <w:szCs w:val="32"/>
          <w:lang w:val="en-US" w:eastAsia="zh-CN"/>
        </w:rPr>
        <w:t>，完善统计调查方法，形成标准化的指标体系，加强统计、发改、工信、科技、市场监管、金融等部门的联络协商，定期通报统计信息，系统评价科技服务业发展水平。建立科技服务业企业库和重点科技服务业企业联系服务机制，加强政策宣讲、精准指导、跟踪服务，及时掌握科技服务业发展动态，加强科技服务业数据开发利用。</w:t>
      </w:r>
      <w:r>
        <w:rPr>
          <w:rFonts w:hint="eastAsia" w:ascii="楷体_GB2312" w:hAnsi="楷体_GB2312" w:eastAsia="楷体_GB2312" w:cs="楷体_GB2312"/>
          <w:color w:val="auto"/>
          <w:sz w:val="32"/>
          <w:szCs w:val="32"/>
          <w:lang w:val="en-US" w:eastAsia="zh-CN"/>
        </w:rPr>
        <w:t>（责任单位：省科技厅、发改委、工信厅、市场监管局、人民银行福建省分行、福建金融监管局）</w:t>
      </w:r>
    </w:p>
    <w:p w14:paraId="067EBEB3">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二、推动提质升级，加快科技服务专业化高端化发展</w:t>
      </w:r>
      <w:r>
        <w:rPr>
          <w:rFonts w:hint="eastAsia" w:ascii="仿宋_GB2312" w:hAnsi="仿宋_GB2312" w:eastAsia="仿宋_GB2312" w:cs="仿宋_GB2312"/>
          <w:sz w:val="32"/>
          <w:szCs w:val="32"/>
          <w:lang w:val="en-US" w:eastAsia="zh-CN"/>
        </w:rPr>
        <w:t xml:space="preserve"> </w:t>
      </w:r>
    </w:p>
    <w:p w14:paraId="1DF96D55">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（四）提升研发设计服务能力</w:t>
      </w:r>
    </w:p>
    <w:p w14:paraId="74C999B3">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支持科技服务业企业组建企业实验室、产业技术研发公共服务平台、工程研究中心等，提供定制化研发、系统集成等一体化研发服务，支持符合条件的企业申报省级科技计划项目。支持高校、科研院所整合优质科研资源，组建专业化科技服务机构，提供市场化研发服务。深入实施高新技术企业“提质增效”计划和龙头企业“培优扶强”行动，支持企业布局建设高能级创新服务平台，</w:t>
      </w:r>
      <w:r>
        <w:rPr>
          <w:rFonts w:hint="eastAsia" w:ascii="仿宋_GB2312" w:hAnsi="仿宋_GB2312" w:eastAsia="仿宋_GB2312" w:cs="仿宋_GB2312"/>
          <w:color w:val="auto"/>
          <w:sz w:val="32"/>
          <w:szCs w:val="32"/>
          <w:u w:val="none"/>
          <w:lang w:val="en-US" w:eastAsia="zh-CN" w:bidi="ar"/>
        </w:rPr>
        <w:t>符合条件的，给予</w:t>
      </w:r>
      <w:r>
        <w:rPr>
          <w:rFonts w:hint="eastAsia" w:ascii="仿宋_GB2312" w:hAnsi="仿宋_GB2312" w:cs="仿宋_GB2312"/>
          <w:color w:val="auto"/>
          <w:sz w:val="32"/>
          <w:szCs w:val="32"/>
          <w:u w:val="none"/>
          <w:lang w:val="en-US" w:eastAsia="zh-CN" w:bidi="ar"/>
        </w:rPr>
        <w:t>省级</w:t>
      </w:r>
      <w:r>
        <w:rPr>
          <w:rFonts w:hint="eastAsia" w:ascii="仿宋_GB2312" w:hAnsi="仿宋_GB2312" w:eastAsia="仿宋_GB2312" w:cs="仿宋_GB2312"/>
          <w:color w:val="auto"/>
          <w:sz w:val="32"/>
          <w:szCs w:val="32"/>
          <w:u w:val="none"/>
          <w:lang w:val="en-US" w:eastAsia="zh-CN" w:bidi="ar"/>
        </w:rPr>
        <w:t>工程研究中心、重点实验室等平台奖补资金支持，</w:t>
      </w:r>
      <w:r>
        <w:rPr>
          <w:rFonts w:hint="eastAsia" w:ascii="仿宋_GB2312" w:hAnsi="仿宋_GB2312" w:eastAsia="仿宋_GB2312" w:cs="仿宋_GB2312"/>
          <w:color w:val="auto"/>
          <w:sz w:val="32"/>
          <w:szCs w:val="32"/>
          <w:lang w:val="en-US" w:eastAsia="zh-CN"/>
        </w:rPr>
        <w:t>强化电子信息、先进装备制造、生物医药等领域研发服务。支持企业组建工业设计中心，加强智能化、绿色化设计，促进产品服务向价值链高端延伸。支持企业加快设计基础数据库建设，培育一批示范性开放式工业设计公共服务平台。至2030年，力争全省规上高新技术企业</w:t>
      </w:r>
      <w:r>
        <w:rPr>
          <w:rFonts w:hint="eastAsia" w:ascii="仿宋_GB2312" w:hAnsi="仿宋_GB2312" w:eastAsia="仿宋_GB2312" w:cs="仿宋_GB2312"/>
          <w:color w:val="auto"/>
          <w:sz w:val="32"/>
          <w:szCs w:val="32"/>
          <w:u w:val="none"/>
          <w:lang w:val="en-US" w:eastAsia="zh-CN"/>
        </w:rPr>
        <w:t>超</w:t>
      </w:r>
      <w:r>
        <w:rPr>
          <w:rFonts w:hint="eastAsia" w:ascii="仿宋_GB2312" w:hAnsi="仿宋_GB2312" w:eastAsia="仿宋_GB2312" w:cs="仿宋_GB2312"/>
          <w:color w:val="auto"/>
          <w:sz w:val="32"/>
          <w:szCs w:val="32"/>
          <w:lang w:val="en-US" w:eastAsia="zh-CN"/>
        </w:rPr>
        <w:t>7700家，新增</w:t>
      </w:r>
      <w:r>
        <w:rPr>
          <w:rFonts w:hint="eastAsia" w:ascii="仿宋_GB2312" w:hAnsi="仿宋_GB2312" w:eastAsia="仿宋_GB2312" w:cs="仿宋_GB2312"/>
          <w:color w:val="auto"/>
          <w:sz w:val="32"/>
          <w:szCs w:val="32"/>
          <w:lang w:val="en-US" w:eastAsia="zh"/>
        </w:rPr>
        <w:t>培育</w:t>
      </w:r>
      <w:r>
        <w:rPr>
          <w:rFonts w:hint="eastAsia" w:ascii="仿宋_GB2312" w:hAnsi="仿宋_GB2312" w:eastAsia="仿宋_GB2312" w:cs="仿宋_GB2312"/>
          <w:color w:val="auto"/>
          <w:sz w:val="32"/>
          <w:szCs w:val="32"/>
          <w:lang w:val="en-US" w:eastAsia="zh-CN"/>
        </w:rPr>
        <w:t>工业设计中心50家。</w:t>
      </w:r>
      <w:r>
        <w:rPr>
          <w:rFonts w:hint="eastAsia" w:ascii="楷体_GB2312" w:hAnsi="楷体_GB2312" w:eastAsia="楷体_GB2312" w:cs="楷体_GB2312"/>
          <w:sz w:val="32"/>
          <w:szCs w:val="32"/>
          <w:lang w:val="en-US" w:eastAsia="zh-CN"/>
        </w:rPr>
        <w:t>（责任单位：省科技厅、发改委、工信厅）</w:t>
      </w:r>
    </w:p>
    <w:p w14:paraId="702CBE23">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（五）推动检验检测认证服务与新兴产业融合发展</w:t>
      </w:r>
    </w:p>
    <w:p w14:paraId="2C661608">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eastAsia="zh-CN"/>
        </w:rPr>
        <w:t>支持打造“一体化”国家质量基础设施（</w:t>
      </w:r>
      <w:r>
        <w:rPr>
          <w:rFonts w:hint="eastAsia" w:ascii="仿宋_GB2312" w:hAnsi="仿宋_GB2312" w:eastAsia="仿宋_GB2312" w:cs="仿宋_GB2312"/>
          <w:sz w:val="32"/>
          <w:szCs w:val="32"/>
          <w:lang w:val="en-US" w:eastAsia="zh-CN"/>
        </w:rPr>
        <w:t>NQI</w:t>
      </w:r>
      <w:r>
        <w:rPr>
          <w:rFonts w:hint="eastAsia" w:ascii="仿宋_GB2312" w:hAnsi="仿宋_GB2312" w:eastAsia="仿宋_GB2312" w:cs="仿宋_GB2312"/>
          <w:sz w:val="32"/>
          <w:szCs w:val="32"/>
          <w:lang w:eastAsia="zh-CN"/>
        </w:rPr>
        <w:t>）服务体系，在宁德等地试点建设质量基础设施综合产业园。</w:t>
      </w:r>
      <w:r>
        <w:rPr>
          <w:rFonts w:hint="eastAsia" w:ascii="仿宋_GB2312" w:hAnsi="仿宋_GB2312" w:eastAsia="仿宋_GB2312" w:cs="仿宋_GB2312"/>
          <w:sz w:val="32"/>
          <w:szCs w:val="32"/>
          <w:lang w:val="en-US" w:eastAsia="zh-CN"/>
        </w:rPr>
        <w:t>加强国家碳计量中心（福建）建设，开展</w:t>
      </w:r>
      <w:r>
        <w:rPr>
          <w:rFonts w:hint="eastAsia" w:ascii="仿宋_GB2312" w:hAnsi="仿宋_GB2312" w:eastAsia="仿宋_GB2312" w:cs="仿宋_GB2312"/>
          <w:kern w:val="2"/>
          <w:sz w:val="32"/>
          <w:szCs w:val="32"/>
          <w:lang w:val="en-US" w:eastAsia="zh-CN" w:bidi="ar-SA"/>
        </w:rPr>
        <w:t>碳计量技术研究与应用</w:t>
      </w:r>
      <w:r>
        <w:rPr>
          <w:rFonts w:hint="eastAsia" w:ascii="仿宋_GB2312" w:hAnsi="仿宋_GB2312" w:eastAsia="仿宋_GB2312" w:cs="仿宋_GB2312"/>
          <w:color w:val="auto"/>
          <w:kern w:val="2"/>
          <w:sz w:val="32"/>
          <w:szCs w:val="32"/>
          <w:u w:val="none"/>
          <w:lang w:val="en-US" w:eastAsia="zh-CN" w:bidi="ar"/>
        </w:rPr>
        <w:t>，</w:t>
      </w:r>
      <w:r>
        <w:rPr>
          <w:rFonts w:hint="eastAsia" w:ascii="仿宋_GB2312" w:hAnsi="仿宋_GB2312" w:eastAsia="仿宋_GB2312" w:cs="仿宋_GB2312"/>
          <w:color w:val="auto"/>
          <w:sz w:val="32"/>
          <w:szCs w:val="32"/>
          <w:u w:val="none"/>
          <w:lang w:bidi="ar"/>
        </w:rPr>
        <w:t>建</w:t>
      </w:r>
      <w:r>
        <w:rPr>
          <w:rFonts w:hint="eastAsia" w:ascii="仿宋_GB2312" w:hAnsi="仿宋_GB2312" w:eastAsia="仿宋_GB2312" w:cs="仿宋_GB2312"/>
          <w:color w:val="auto"/>
          <w:sz w:val="32"/>
          <w:szCs w:val="32"/>
          <w:highlight w:val="none"/>
          <w:u w:val="none"/>
          <w:lang w:eastAsia="zh-CN" w:bidi="ar"/>
        </w:rPr>
        <w:t>设</w:t>
      </w:r>
      <w:r>
        <w:rPr>
          <w:rFonts w:hint="eastAsia" w:ascii="仿宋_GB2312" w:hAnsi="仿宋_GB2312" w:eastAsia="仿宋_GB2312" w:cs="仿宋_GB2312"/>
          <w:color w:val="auto"/>
          <w:sz w:val="32"/>
          <w:szCs w:val="32"/>
          <w:u w:val="none"/>
          <w:lang w:bidi="ar"/>
        </w:rPr>
        <w:t>碳计量技术创新策源地和碳人才培训基地</w:t>
      </w:r>
      <w:r>
        <w:rPr>
          <w:rFonts w:hint="eastAsia" w:ascii="仿宋_GB2312" w:hAnsi="仿宋_GB2312" w:eastAsia="仿宋_GB2312" w:cs="仿宋_GB2312"/>
          <w:sz w:val="32"/>
          <w:szCs w:val="32"/>
          <w:lang w:val="en-US" w:eastAsia="zh-CN"/>
        </w:rPr>
        <w:t>。建立检企对接平台，组建专家团队提供CE认证等专项培训，服务重点产业需求。</w:t>
      </w:r>
      <w:r>
        <w:rPr>
          <w:rFonts w:hint="eastAsia" w:ascii="仿宋_GB2312" w:hAnsi="仿宋_GB2312" w:cs="仿宋_GB2312"/>
          <w:sz w:val="32"/>
          <w:szCs w:val="32"/>
          <w:lang w:val="en-US" w:eastAsia="zh-CN"/>
        </w:rPr>
        <w:t>支持</w:t>
      </w:r>
      <w:r>
        <w:rPr>
          <w:rFonts w:hint="eastAsia" w:ascii="仿宋_GB2312" w:hAnsi="仿宋_GB2312" w:eastAsia="仿宋_GB2312" w:cs="仿宋_GB2312"/>
          <w:sz w:val="32"/>
          <w:szCs w:val="32"/>
          <w:lang w:val="en-US" w:eastAsia="zh-CN"/>
        </w:rPr>
        <w:t>符合条件的认证检验检测企业</w:t>
      </w:r>
      <w:r>
        <w:rPr>
          <w:rFonts w:hint="eastAsia" w:ascii="仿宋_GB2312" w:hAnsi="仿宋_GB2312" w:cs="仿宋_GB2312"/>
          <w:sz w:val="32"/>
          <w:szCs w:val="32"/>
          <w:lang w:val="en-US" w:eastAsia="zh"/>
        </w:rPr>
        <w:t>组建制造业中试服务平台，申请</w:t>
      </w:r>
      <w:r>
        <w:rPr>
          <w:rFonts w:hint="eastAsia" w:ascii="仿宋_GB2312" w:hAnsi="仿宋_GB2312" w:eastAsia="仿宋_GB2312" w:cs="仿宋_GB2312"/>
          <w:sz w:val="32"/>
          <w:szCs w:val="32"/>
          <w:lang w:val="en-US" w:eastAsia="zh-CN"/>
        </w:rPr>
        <w:t>专精特新企业等认定。</w:t>
      </w:r>
      <w:r>
        <w:rPr>
          <w:rFonts w:hint="eastAsia" w:ascii="仿宋_GB2312" w:hAnsi="仿宋_GB2312" w:eastAsia="仿宋_GB2312" w:cs="仿宋_GB2312"/>
          <w:sz w:val="32"/>
          <w:szCs w:val="32"/>
          <w:lang w:eastAsia="zh-CN"/>
        </w:rPr>
        <w:t>支持企业、高校、科研院所参与“双碳”等领域国际国家标准制修订、</w:t>
      </w:r>
      <w:r>
        <w:rPr>
          <w:rFonts w:hint="eastAsia" w:ascii="仿宋_GB2312" w:hAnsi="仿宋_GB2312" w:eastAsia="仿宋_GB2312" w:cs="仿宋_GB2312"/>
          <w:kern w:val="2"/>
          <w:sz w:val="32"/>
          <w:szCs w:val="32"/>
          <w:lang w:val="en-US" w:eastAsia="zh-CN" w:bidi="ar-SA"/>
        </w:rPr>
        <w:t>申请</w:t>
      </w:r>
      <w:r>
        <w:rPr>
          <w:rFonts w:hint="eastAsia" w:ascii="仿宋_GB2312" w:hAnsi="仿宋_GB2312" w:eastAsia="仿宋_GB2312" w:cs="仿宋_GB2312"/>
          <w:kern w:val="2"/>
          <w:sz w:val="32"/>
          <w:szCs w:val="32"/>
          <w:lang w:val="en" w:eastAsia="zh-CN" w:bidi="ar-SA"/>
        </w:rPr>
        <w:t>CNAS</w:t>
      </w:r>
      <w:r>
        <w:rPr>
          <w:rFonts w:hint="eastAsia" w:ascii="仿宋_GB2312" w:hAnsi="仿宋_GB2312" w:cs="仿宋_GB2312"/>
          <w:kern w:val="2"/>
          <w:sz w:val="32"/>
          <w:szCs w:val="32"/>
          <w:lang w:val="en" w:eastAsia="zh-CN" w:bidi="ar-SA"/>
        </w:rPr>
        <w:t>认可</w:t>
      </w:r>
      <w:r>
        <w:rPr>
          <w:rFonts w:hint="eastAsia" w:ascii="仿宋_GB2312" w:hAnsi="仿宋_GB2312" w:eastAsia="仿宋_GB2312" w:cs="仿宋_GB2312"/>
          <w:kern w:val="2"/>
          <w:sz w:val="32"/>
          <w:szCs w:val="32"/>
          <w:lang w:val="en" w:eastAsia="zh-CN" w:bidi="ar-SA"/>
        </w:rPr>
        <w:t>以及</w:t>
      </w:r>
      <w:r>
        <w:rPr>
          <w:rFonts w:hint="eastAsia" w:ascii="仿宋_GB2312" w:hAnsi="仿宋_GB2312" w:cs="仿宋_GB2312"/>
          <w:kern w:val="2"/>
          <w:sz w:val="32"/>
          <w:szCs w:val="32"/>
          <w:lang w:val="en" w:eastAsia="zh-CN" w:bidi="ar-SA"/>
        </w:rPr>
        <w:t>依托</w:t>
      </w:r>
      <w:r>
        <w:rPr>
          <w:rFonts w:hint="eastAsia" w:ascii="仿宋_GB2312" w:hAnsi="仿宋_GB2312" w:eastAsia="仿宋_GB2312" w:cs="仿宋_GB2312"/>
          <w:kern w:val="2"/>
          <w:sz w:val="32"/>
          <w:szCs w:val="32"/>
          <w:lang w:val="en" w:eastAsia="zh-CN" w:bidi="ar-SA"/>
        </w:rPr>
        <w:t>国际实验室认可合作组织互认体系</w:t>
      </w:r>
      <w:r>
        <w:rPr>
          <w:rFonts w:hint="eastAsia" w:ascii="仿宋_GB2312" w:hAnsi="仿宋_GB2312" w:cs="仿宋_GB2312"/>
          <w:kern w:val="2"/>
          <w:sz w:val="32"/>
          <w:szCs w:val="32"/>
          <w:lang w:val="en" w:eastAsia="zh-CN" w:bidi="ar-SA"/>
        </w:rPr>
        <w:t>实现检测结果互认</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sz w:val="32"/>
          <w:szCs w:val="32"/>
        </w:rPr>
        <w:t>推动国际化</w:t>
      </w:r>
      <w:r>
        <w:rPr>
          <w:rFonts w:hint="eastAsia" w:ascii="仿宋_GB2312" w:hAnsi="仿宋_GB2312" w:eastAsia="仿宋_GB2312" w:cs="仿宋_GB2312"/>
          <w:sz w:val="32"/>
          <w:szCs w:val="32"/>
          <w:lang w:val="en-US" w:eastAsia="zh-CN"/>
        </w:rPr>
        <w:t>进程</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sz w:val="32"/>
          <w:szCs w:val="32"/>
          <w:lang w:val="en-US" w:eastAsia="zh-CN"/>
        </w:rPr>
        <w:t>至2030年，全省检验检测机构总收入超110亿元，规上检验检测机构数量达180家。</w:t>
      </w:r>
      <w:r>
        <w:rPr>
          <w:rFonts w:hint="eastAsia" w:ascii="楷体_GB2312" w:hAnsi="楷体_GB2312" w:eastAsia="楷体_GB2312" w:cs="楷体_GB2312"/>
          <w:sz w:val="32"/>
          <w:szCs w:val="32"/>
          <w:lang w:val="en-US" w:eastAsia="zh-CN"/>
        </w:rPr>
        <w:t>（责任单位：省市场监管局、工信厅）</w:t>
      </w:r>
    </w:p>
    <w:p w14:paraId="1EFB4318">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left="0" w:leftChars="0" w:right="0" w:rightChars="0" w:firstLine="674" w:firstLineChars="200"/>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（六）做优做强技术转移与孵化服务</w:t>
      </w:r>
    </w:p>
    <w:p w14:paraId="560CBB1B">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kern w:val="2"/>
          <w:sz w:val="32"/>
          <w:szCs w:val="32"/>
          <w:lang w:val="en-US" w:eastAsia="zh-CN" w:bidi="ar-SA"/>
        </w:rPr>
        <w:t>积极培育一批专业化、市场化细分领域技术转移机构</w:t>
      </w:r>
      <w:r>
        <w:rPr>
          <w:rFonts w:hint="eastAsia" w:ascii="仿宋_GB2312" w:hAnsi="仿宋_GB2312" w:eastAsia="仿宋_GB2312" w:cs="仿宋_GB2312"/>
          <w:color w:val="auto"/>
          <w:kern w:val="2"/>
          <w:sz w:val="32"/>
          <w:szCs w:val="32"/>
          <w:lang w:val="en-US" w:eastAsia="zh-CN" w:bidi="ar-SA"/>
        </w:rPr>
        <w:t>，提供高质量的</w:t>
      </w:r>
      <w:r>
        <w:rPr>
          <w:rFonts w:hint="eastAsia" w:ascii="仿宋_GB2312" w:hAnsi="仿宋_GB2312" w:eastAsia="仿宋_GB2312" w:cs="仿宋_GB2312"/>
          <w:color w:val="auto"/>
          <w:sz w:val="32"/>
          <w:szCs w:val="32"/>
        </w:rPr>
        <w:t>技术评估、市场分析、</w:t>
      </w:r>
      <w:r>
        <w:rPr>
          <w:rFonts w:hint="eastAsia" w:ascii="仿宋_GB2312" w:hAnsi="仿宋_GB2312" w:eastAsia="仿宋_GB2312" w:cs="仿宋_GB2312"/>
          <w:color w:val="auto"/>
          <w:sz w:val="32"/>
          <w:szCs w:val="32"/>
          <w:lang w:eastAsia="zh-CN"/>
        </w:rPr>
        <w:t>交易磋商等</w:t>
      </w:r>
      <w:r>
        <w:rPr>
          <w:rFonts w:hint="eastAsia" w:ascii="仿宋_GB2312" w:hAnsi="仿宋_GB2312" w:eastAsia="仿宋_GB2312" w:cs="仿宋_GB2312"/>
          <w:color w:val="auto"/>
          <w:sz w:val="32"/>
          <w:szCs w:val="32"/>
        </w:rPr>
        <w:t>全链条服务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2"/>
          <w:sz w:val="32"/>
          <w:szCs w:val="32"/>
          <w:lang w:val="en-US" w:eastAsia="zh-CN" w:bidi="ar-SA"/>
        </w:rPr>
        <w:t>面向氢能、机器人等未来产业领域及新能源、智能制造等重点产业领域，加快布局建设一批概念验证中心、产业技术研发公共服务平台及中试服务平台</w:t>
      </w:r>
      <w:r>
        <w:rPr>
          <w:rFonts w:hint="eastAsia" w:ascii="仿宋_GB2312" w:hAnsi="仿宋_GB2312" w:eastAsia="仿宋_GB2312" w:cs="仿宋_GB2312"/>
          <w:color w:val="auto"/>
          <w:kern w:val="2"/>
          <w:sz w:val="32"/>
          <w:szCs w:val="32"/>
          <w:u w:val="none"/>
          <w:lang w:val="en-US" w:eastAsia="zh-CN" w:bidi="ar"/>
        </w:rPr>
        <w:t>，符合条件的，给予平台奖补资金或项目支持。</w:t>
      </w:r>
      <w:r>
        <w:rPr>
          <w:rFonts w:hint="eastAsia" w:ascii="仿宋_GB2312" w:hAnsi="仿宋_GB2312" w:eastAsia="仿宋_GB2312" w:cs="仿宋_GB2312"/>
          <w:i w:val="0"/>
          <w:iCs w:val="0"/>
          <w:color w:val="auto"/>
          <w:kern w:val="2"/>
          <w:sz w:val="32"/>
          <w:szCs w:val="32"/>
          <w:lang w:val="en-US" w:eastAsia="zh-CN" w:bidi="ar-SA"/>
        </w:rPr>
        <w:t>加快</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rPr>
        <w:t>高校区域技术转移转化中心</w:t>
      </w:r>
      <w:r>
        <w:rPr>
          <w:rFonts w:hint="eastAsia" w:ascii="仿宋_GB2312" w:hAnsi="仿宋_GB2312" w:eastAsia="仿宋_GB2312" w:cs="仿宋_GB2312"/>
          <w:color w:val="auto"/>
          <w:sz w:val="32"/>
          <w:szCs w:val="32"/>
          <w:lang w:eastAsia="zh-CN"/>
        </w:rPr>
        <w:t>（福建）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深化产学研融合，</w:t>
      </w:r>
      <w:r>
        <w:rPr>
          <w:rFonts w:hint="eastAsia" w:ascii="仿宋_GB2312" w:hAnsi="仿宋_GB2312" w:eastAsia="仿宋_GB2312" w:cs="仿宋_GB2312"/>
          <w:color w:val="auto"/>
          <w:sz w:val="32"/>
          <w:szCs w:val="32"/>
          <w:u w:val="none"/>
          <w:lang w:eastAsia="zh-CN" w:bidi="ar"/>
        </w:rPr>
        <w:t>培育孵化高质量科技成果</w:t>
      </w:r>
      <w:r>
        <w:rPr>
          <w:rFonts w:hint="eastAsia" w:ascii="仿宋_GB2312" w:hAnsi="仿宋_GB2312" w:eastAsia="仿宋_GB2312" w:cs="仿宋_GB2312"/>
          <w:color w:val="auto"/>
          <w:sz w:val="32"/>
          <w:szCs w:val="32"/>
        </w:rPr>
        <w:t>。引导孵化器强化“孵化+投资”功能定位，健全“孵化</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加速</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产业化”服务体系。</w:t>
      </w:r>
      <w:r>
        <w:rPr>
          <w:rFonts w:hint="eastAsia" w:ascii="仿宋_GB2312" w:hAnsi="仿宋_GB2312" w:eastAsia="仿宋_GB2312" w:cs="仿宋_GB2312"/>
          <w:b w:val="0"/>
          <w:bCs/>
          <w:color w:val="auto"/>
          <w:spacing w:val="0"/>
          <w:sz w:val="32"/>
          <w:szCs w:val="32"/>
          <w:lang w:val="en-US" w:eastAsia="zh-CN" w:bidi="ar"/>
        </w:rPr>
        <w:t>鼓励事业单位设立专业化技术转移机构和专业技术岗位，可以在</w:t>
      </w:r>
      <w:r>
        <w:rPr>
          <w:rFonts w:hint="eastAsia" w:ascii="仿宋_GB2312" w:hAnsi="仿宋_GB2312" w:eastAsia="仿宋_GB2312" w:cs="仿宋_GB2312"/>
          <w:b w:val="0"/>
          <w:bCs/>
          <w:color w:val="auto"/>
          <w:spacing w:val="0"/>
          <w:kern w:val="2"/>
          <w:sz w:val="32"/>
          <w:szCs w:val="32"/>
          <w:lang w:val="en-US" w:eastAsia="zh-CN" w:bidi="ar"/>
        </w:rPr>
        <w:t>职务</w:t>
      </w:r>
      <w:r>
        <w:rPr>
          <w:rFonts w:hint="eastAsia" w:ascii="仿宋_GB2312" w:hAnsi="仿宋_GB2312" w:eastAsia="仿宋_GB2312" w:cs="仿宋_GB2312"/>
          <w:b w:val="0"/>
          <w:bCs/>
          <w:color w:val="auto"/>
          <w:spacing w:val="0"/>
          <w:sz w:val="32"/>
          <w:szCs w:val="32"/>
          <w:lang w:val="en-US" w:eastAsia="zh-CN" w:bidi="ar"/>
        </w:rPr>
        <w:t>科技成果转化净收入中，以不低于百分之十的比例提取资金用于机构能力建设和技术转移人员奖励</w:t>
      </w:r>
      <w:r>
        <w:rPr>
          <w:rFonts w:hint="eastAsia" w:ascii="仿宋_GB2312" w:hAnsi="仿宋_GB2312" w:eastAsia="仿宋_GB2312" w:cs="仿宋_GB2312"/>
          <w:color w:val="auto"/>
          <w:spacing w:val="0"/>
          <w:sz w:val="32"/>
          <w:szCs w:val="32"/>
          <w:lang w:val="en-US" w:eastAsia="zh-CN"/>
        </w:rPr>
        <w:t>。</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lang w:val="en-US" w:eastAsia="zh-CN"/>
        </w:rPr>
        <w:t>2030年，</w:t>
      </w:r>
      <w:r>
        <w:rPr>
          <w:rFonts w:hint="eastAsia" w:ascii="仿宋_GB2312" w:hAnsi="仿宋_GB2312" w:eastAsia="仿宋_GB2312" w:cs="仿宋_GB2312"/>
          <w:color w:val="auto"/>
          <w:sz w:val="32"/>
          <w:szCs w:val="32"/>
          <w:lang w:eastAsia="zh-CN"/>
        </w:rPr>
        <w:t>省级技术转移机构达到</w:t>
      </w:r>
      <w:r>
        <w:rPr>
          <w:rFonts w:hint="eastAsia" w:ascii="仿宋_GB2312" w:hAnsi="仿宋_GB2312" w:eastAsia="仿宋_GB2312" w:cs="仿宋_GB2312"/>
          <w:color w:val="auto"/>
          <w:sz w:val="32"/>
          <w:szCs w:val="32"/>
          <w:lang w:val="en-US" w:eastAsia="zh-CN"/>
        </w:rPr>
        <w:t>180家以上，</w:t>
      </w:r>
      <w:r>
        <w:rPr>
          <w:rFonts w:hint="eastAsia" w:ascii="仿宋_GB2312" w:hAnsi="仿宋_GB2312" w:eastAsia="仿宋_GB2312" w:cs="仿宋_GB2312"/>
          <w:color w:val="auto"/>
          <w:sz w:val="32"/>
          <w:szCs w:val="32"/>
          <w:lang w:eastAsia="zh-CN"/>
        </w:rPr>
        <w:t>概念验证中心、</w:t>
      </w:r>
      <w:r>
        <w:rPr>
          <w:rFonts w:hint="eastAsia" w:ascii="仿宋_GB2312" w:hAnsi="仿宋_GB2312" w:eastAsia="仿宋_GB2312" w:cs="仿宋_GB2312"/>
          <w:color w:val="auto"/>
          <w:sz w:val="32"/>
          <w:szCs w:val="32"/>
        </w:rPr>
        <w:t>产业技术研发公共服务平台</w:t>
      </w:r>
      <w:r>
        <w:rPr>
          <w:rFonts w:hint="eastAsia" w:ascii="仿宋_GB2312" w:hAnsi="仿宋_GB2312" w:eastAsia="仿宋_GB2312" w:cs="仿宋_GB2312"/>
          <w:color w:val="auto"/>
          <w:sz w:val="32"/>
          <w:szCs w:val="32"/>
          <w:lang w:eastAsia="zh-CN"/>
        </w:rPr>
        <w:t>、制造业中试服务平台达到</w:t>
      </w:r>
      <w:r>
        <w:rPr>
          <w:rFonts w:hint="eastAsia" w:ascii="仿宋_GB2312" w:hAnsi="仿宋_GB2312" w:eastAsia="仿宋_GB2312" w:cs="仿宋_GB2312"/>
          <w:color w:val="auto"/>
          <w:sz w:val="32"/>
          <w:szCs w:val="32"/>
          <w:lang w:val="en-US" w:eastAsia="zh-CN"/>
        </w:rPr>
        <w:t>50家以上。</w:t>
      </w:r>
      <w:r>
        <w:rPr>
          <w:rFonts w:hint="eastAsia" w:ascii="楷体_GB2312" w:hAnsi="楷体_GB2312" w:eastAsia="楷体_GB2312" w:cs="楷体_GB2312"/>
          <w:sz w:val="32"/>
          <w:szCs w:val="32"/>
          <w:lang w:val="en-US" w:eastAsia="zh-CN"/>
        </w:rPr>
        <w:t>（责任单位：省科技厅、教育厅、工信厅、人社厅，省创新研究院）</w:t>
      </w:r>
    </w:p>
    <w:p w14:paraId="6680FB05">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right="0" w:rightChars="0" w:firstLine="674" w:firstLineChars="200"/>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（七）强化知识产权全链条服务</w:t>
      </w:r>
    </w:p>
    <w:p w14:paraId="00AD161D">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firstLine="674"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拓宽电子信息等领域快速预审服务范围，加强专利预审质量监测和备案主体分级分类管理。持续推进国家级、省级知识产权运营中心建设，研究制定知识产权创新联合体建设指引，开展联合研发、知识产权交叉许可、协同应用等。围绕重点产业、区域和企业开展专利导航和高价值专利培育，提供精准技术指引和风险预警。至2030年，培育高价值专利6万件以上。</w:t>
      </w:r>
      <w:r>
        <w:rPr>
          <w:rFonts w:hint="eastAsia" w:ascii="楷体_GB2312" w:hAnsi="楷体_GB2312" w:eastAsia="楷体_GB2312" w:cs="楷体_GB2312"/>
          <w:sz w:val="32"/>
          <w:szCs w:val="32"/>
          <w:lang w:val="en-US" w:eastAsia="zh-CN"/>
        </w:rPr>
        <w:t>（责任单位：省市场监管局）</w:t>
      </w:r>
    </w:p>
    <w:p w14:paraId="7C79C3E0">
      <w:pPr>
        <w:keepNext w:val="0"/>
        <w:keepLines w:val="0"/>
        <w:pageBreakBefore w:val="0"/>
        <w:widowControl w:val="0"/>
        <w:numPr>
          <w:ilvl w:val="0"/>
          <w:numId w:val="1"/>
        </w:numPr>
        <w:suppressLineNumbers w:val="0"/>
        <w:pBdr>
          <w:bottom w:val="single" w:color="FFFFFF" w:sz="4" w:space="22"/>
        </w:pBdr>
        <w:tabs>
          <w:tab w:val="left" w:pos="1221"/>
        </w:tabs>
        <w:kinsoku/>
        <w:wordWrap/>
        <w:overflowPunct/>
        <w:topLinePunct w:val="0"/>
        <w:autoSpaceDE/>
        <w:autoSpaceDN/>
        <w:bidi w:val="0"/>
        <w:adjustRightInd w:val="0"/>
        <w:snapToGrid w:val="0"/>
        <w:spacing w:line="560" w:lineRule="exact"/>
        <w:ind w:firstLine="640"/>
        <w:jc w:val="left"/>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优化服务生态，提升科技服务业资源配置效率</w:t>
      </w:r>
    </w:p>
    <w:p w14:paraId="4561F061">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firstLine="674" w:firstLineChars="200"/>
        <w:jc w:val="left"/>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（八）加快智能化平台发展</w:t>
      </w:r>
    </w:p>
    <w:p w14:paraId="59DDCF1B">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firstLine="640"/>
        <w:jc w:val="left"/>
        <w:textAlignment w:val="auto"/>
        <w:outlineLvl w:val="9"/>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color w:val="auto"/>
          <w:sz w:val="32"/>
          <w:szCs w:val="32"/>
          <w:u w:val="none"/>
          <w:lang w:val="en-US" w:eastAsia="zh-CN"/>
        </w:rPr>
        <w:t>推进福建省科创智慧云平台建设，</w:t>
      </w:r>
      <w:r>
        <w:rPr>
          <w:rFonts w:hint="eastAsia" w:ascii="仿宋_GB2312" w:hAnsi="仿宋_GB2312" w:eastAsia="仿宋_GB2312" w:cs="仿宋_GB2312"/>
          <w:color w:val="auto"/>
          <w:kern w:val="2"/>
          <w:sz w:val="32"/>
          <w:szCs w:val="32"/>
          <w:lang w:val="en-US" w:eastAsia="zh-CN" w:bidi="ar-SA"/>
        </w:rPr>
        <w:t>升级福建省科技成果转移转化公共服务平台，运用大数据、人工智能等新一代信息技术实现成果与需求精准匹配，提供技术经理人数字化服务。</w:t>
      </w:r>
      <w:r>
        <w:rPr>
          <w:rFonts w:hint="eastAsia" w:ascii="仿宋_GB2312" w:hAnsi="仿宋_GB2312" w:eastAsia="仿宋_GB2312" w:cs="仿宋_GB2312"/>
          <w:color w:val="auto"/>
          <w:sz w:val="32"/>
          <w:szCs w:val="32"/>
          <w:lang w:val="en-US" w:eastAsia="zh-CN"/>
        </w:rPr>
        <w:t>推动“知创福建”公共服务平台向基层延伸，</w:t>
      </w:r>
      <w:r>
        <w:rPr>
          <w:rFonts w:hint="eastAsia" w:ascii="仿宋_GB2312" w:hAnsi="仿宋_GB2312" w:eastAsia="仿宋_GB2312" w:cs="仿宋_GB2312"/>
          <w:color w:val="auto"/>
          <w:sz w:val="32"/>
          <w:szCs w:val="32"/>
          <w:u w:val="none"/>
          <w:lang w:val="en-US" w:eastAsia="zh-CN"/>
        </w:rPr>
        <w:t>依托“福建省</w:t>
      </w:r>
      <w:r>
        <w:rPr>
          <w:rFonts w:hint="eastAsia" w:ascii="仿宋_GB2312" w:hAnsi="仿宋_GB2312" w:cs="仿宋_GB2312"/>
          <w:color w:val="auto"/>
          <w:sz w:val="32"/>
          <w:szCs w:val="32"/>
          <w:u w:val="none"/>
          <w:lang w:val="en-US" w:eastAsia="zh-CN"/>
        </w:rPr>
        <w:t>市场监管</w:t>
      </w:r>
      <w:r>
        <w:rPr>
          <w:rFonts w:hint="eastAsia" w:ascii="仿宋_GB2312" w:hAnsi="仿宋_GB2312" w:eastAsia="仿宋_GB2312" w:cs="仿宋_GB2312"/>
          <w:color w:val="auto"/>
          <w:sz w:val="32"/>
          <w:szCs w:val="32"/>
          <w:u w:val="none"/>
          <w:lang w:val="en-US" w:eastAsia="zh-CN"/>
        </w:rPr>
        <w:t>智慧</w:t>
      </w:r>
      <w:r>
        <w:rPr>
          <w:rFonts w:hint="eastAsia" w:ascii="仿宋_GB2312" w:hAnsi="仿宋_GB2312" w:cs="仿宋_GB2312"/>
          <w:color w:val="auto"/>
          <w:sz w:val="32"/>
          <w:szCs w:val="32"/>
          <w:u w:val="none"/>
          <w:lang w:val="en-US" w:eastAsia="zh-CN"/>
        </w:rPr>
        <w:t>应用一体化</w:t>
      </w:r>
      <w:r>
        <w:rPr>
          <w:rFonts w:hint="eastAsia" w:ascii="仿宋_GB2312" w:hAnsi="仿宋_GB2312" w:eastAsia="仿宋_GB2312" w:cs="仿宋_GB2312"/>
          <w:color w:val="auto"/>
          <w:sz w:val="32"/>
          <w:szCs w:val="32"/>
          <w:u w:val="none"/>
          <w:lang w:val="en-US" w:eastAsia="zh-CN"/>
        </w:rPr>
        <w:t>平台”和“福建市事通”综合赋能平台，打造智能化服务“工具箱”。</w:t>
      </w:r>
      <w:r>
        <w:rPr>
          <w:rFonts w:hint="eastAsia" w:ascii="楷体_GB2312" w:hAnsi="楷体_GB2312" w:eastAsia="楷体_GB2312" w:cs="楷体_GB2312"/>
          <w:sz w:val="32"/>
          <w:szCs w:val="32"/>
          <w:lang w:val="en-US" w:eastAsia="zh-CN"/>
        </w:rPr>
        <w:t>（责任单位：省科技厅、市场监管局、数据管理局，省创新研究院）</w:t>
      </w:r>
    </w:p>
    <w:p w14:paraId="4955E84D">
      <w:pPr>
        <w:keepNext w:val="0"/>
        <w:keepLines w:val="0"/>
        <w:pageBreakBefore w:val="0"/>
        <w:widowControl w:val="0"/>
        <w:numPr>
          <w:ilvl w:val="0"/>
          <w:numId w:val="0"/>
        </w:numPr>
        <w:pBdr>
          <w:bottom w:val="single" w:color="FFFFFF" w:sz="4" w:space="22"/>
        </w:pBdr>
        <w:tabs>
          <w:tab w:val="left" w:pos="1221"/>
        </w:tabs>
        <w:kinsoku/>
        <w:wordWrap/>
        <w:overflowPunct/>
        <w:topLinePunct w:val="0"/>
        <w:autoSpaceDE/>
        <w:autoSpaceDN/>
        <w:bidi w:val="0"/>
        <w:adjustRightInd w:val="0"/>
        <w:snapToGrid w:val="0"/>
        <w:spacing w:line="560" w:lineRule="exact"/>
        <w:ind w:firstLine="640"/>
        <w:jc w:val="left"/>
        <w:textAlignment w:val="auto"/>
        <w:outlineLvl w:val="9"/>
        <w:rPr>
          <w:rFonts w:hint="eastAsia" w:ascii="楷体_GB2312" w:hAnsi="楷体_GB2312" w:eastAsia="楷体_GB2312" w:cs="楷体_GB2312"/>
          <w:i w:val="0"/>
          <w:iCs w:val="0"/>
          <w:caps w:val="0"/>
          <w:color w:val="auto"/>
          <w:spacing w:val="0"/>
          <w:sz w:val="32"/>
          <w:szCs w:val="32"/>
          <w:shd w:val="clear" w:color="auto" w:fill="FCFDFD"/>
          <w:lang w:val="en-US" w:eastAsia="zh-CN"/>
        </w:rPr>
      </w:pPr>
      <w:r>
        <w:rPr>
          <w:rFonts w:hint="eastAsia" w:ascii="楷体_GB2312" w:hAnsi="楷体_GB2312" w:eastAsia="楷体_GB2312" w:cs="楷体_GB2312"/>
          <w:sz w:val="32"/>
          <w:szCs w:val="32"/>
          <w:lang w:val="en-US" w:eastAsia="zh-CN"/>
        </w:rPr>
        <w:t>（九）</w:t>
      </w:r>
      <w:r>
        <w:rPr>
          <w:rFonts w:hint="eastAsia" w:ascii="楷体_GB2312" w:hAnsi="楷体_GB2312" w:eastAsia="楷体_GB2312" w:cs="楷体_GB2312"/>
          <w:i w:val="0"/>
          <w:iCs w:val="0"/>
          <w:caps w:val="0"/>
          <w:color w:val="auto"/>
          <w:spacing w:val="0"/>
          <w:sz w:val="32"/>
          <w:szCs w:val="32"/>
          <w:shd w:val="clear" w:color="auto" w:fill="FCFDFD"/>
          <w:lang w:val="en-US" w:eastAsia="zh-CN"/>
        </w:rPr>
        <w:t>加大科技服务人才引育</w:t>
      </w:r>
    </w:p>
    <w:p w14:paraId="60531EF6">
      <w:pPr>
        <w:keepNext w:val="0"/>
        <w:keepLines w:val="0"/>
        <w:pageBreakBefore w:val="0"/>
        <w:widowControl w:val="0"/>
        <w:pBdr>
          <w:bottom w:val="single" w:color="FFFFFF" w:sz="4" w:space="22"/>
        </w:pBdr>
        <w:shd w:val="clear" w:color="auto" w:fill="FFFFFF"/>
        <w:tabs>
          <w:tab w:val="left" w:pos="1221"/>
        </w:tabs>
        <w:kinsoku/>
        <w:wordWrap/>
        <w:overflowPunct/>
        <w:topLinePunct w:val="0"/>
        <w:autoSpaceDE/>
        <w:autoSpaceDN/>
        <w:bidi w:val="0"/>
        <w:adjustRightInd w:val="0"/>
        <w:snapToGrid w:val="0"/>
        <w:spacing w:before="0" w:beforeAutospacing="0" w:after="0" w:afterAutospacing="0" w:line="560" w:lineRule="exact"/>
        <w:ind w:right="0" w:rightChars="0" w:firstLine="674"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深入实施技术经纪（理）人培育计划，</w:t>
      </w:r>
      <w:r>
        <w:rPr>
          <w:rFonts w:hint="eastAsia" w:ascii="仿宋_GB2312" w:hAnsi="仿宋_GB2312" w:eastAsia="仿宋_GB2312" w:cs="仿宋_GB2312"/>
          <w:kern w:val="2"/>
          <w:sz w:val="32"/>
          <w:szCs w:val="32"/>
          <w:lang w:val="en-US" w:eastAsia="zh-CN" w:bidi="ar-SA"/>
        </w:rPr>
        <w:t>鼓励省内高校开设技术转移、</w:t>
      </w:r>
      <w:r>
        <w:rPr>
          <w:rFonts w:hint="eastAsia" w:ascii="仿宋_GB2312" w:hAnsi="仿宋_GB2312" w:eastAsia="仿宋_GB2312" w:cs="仿宋_GB2312"/>
          <w:b w:val="0"/>
          <w:bCs w:val="0"/>
          <w:kern w:val="2"/>
          <w:sz w:val="32"/>
          <w:szCs w:val="32"/>
          <w:lang w:val="en-US" w:eastAsia="zh-CN" w:bidi="ar-SA"/>
        </w:rPr>
        <w:t>计量标准</w:t>
      </w:r>
      <w:r>
        <w:rPr>
          <w:rFonts w:hint="eastAsia" w:ascii="仿宋_GB2312" w:hAnsi="仿宋_GB2312" w:eastAsia="仿宋_GB2312" w:cs="仿宋_GB2312"/>
          <w:kern w:val="2"/>
          <w:sz w:val="32"/>
          <w:szCs w:val="32"/>
          <w:lang w:val="en-US" w:eastAsia="zh-CN" w:bidi="ar-SA"/>
        </w:rPr>
        <w:t>、认证检验检测等相关专业课程</w:t>
      </w:r>
      <w:r>
        <w:rPr>
          <w:rFonts w:hint="eastAsia" w:ascii="仿宋_GB2312" w:hAnsi="仿宋_GB2312" w:eastAsia="仿宋_GB2312" w:cs="仿宋_GB2312"/>
          <w:color w:val="auto"/>
          <w:kern w:val="2"/>
          <w:sz w:val="32"/>
          <w:szCs w:val="32"/>
          <w:lang w:val="en-US" w:eastAsia="zh-CN" w:bidi="ar-SA"/>
        </w:rPr>
        <w:t>，逐步发展技术转移学历教育。</w:t>
      </w:r>
      <w:r>
        <w:rPr>
          <w:rFonts w:hint="eastAsia" w:ascii="仿宋_GB2312" w:hAnsi="仿宋_GB2312" w:eastAsia="仿宋_GB2312" w:cs="仿宋_GB2312"/>
          <w:color w:val="auto"/>
          <w:kern w:val="2"/>
          <w:sz w:val="32"/>
          <w:szCs w:val="32"/>
          <w:shd w:val="clear" w:color="auto" w:fill="FFFFFF"/>
          <w:lang w:val="en-US" w:eastAsia="zh-CN" w:bidi="ar-SA"/>
        </w:rPr>
        <w:t>实施科技服务人才实训计划，依托概念验证中心、创新实验室、重点实验室、检验检测机构、龙头企业等载体，建设一批实训基地，为科技服务人才提供企业对接、技术评估、成果推广、转化落地、检验检测等实操训练</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u w:val="none"/>
          <w:lang w:val="en-US" w:eastAsia="zh-CN" w:bidi="ar"/>
        </w:rPr>
        <w:t>突出共引共育，</w:t>
      </w:r>
      <w:r>
        <w:rPr>
          <w:rFonts w:hint="eastAsia" w:ascii="仿宋_GB2312" w:hAnsi="仿宋_GB2312" w:eastAsia="仿宋_GB2312" w:cs="仿宋_GB2312"/>
          <w:color w:val="auto"/>
          <w:kern w:val="2"/>
          <w:sz w:val="32"/>
          <w:szCs w:val="32"/>
          <w:u w:val="none"/>
          <w:lang w:val="en-US" w:eastAsia="zh-CN" w:bidi="ar-SA"/>
        </w:rPr>
        <w:t>支持各地探索</w:t>
      </w:r>
      <w:r>
        <w:rPr>
          <w:rFonts w:hint="eastAsia" w:ascii="仿宋_GB2312" w:hAnsi="仿宋_GB2312" w:eastAsia="仿宋_GB2312" w:cs="仿宋_GB2312"/>
          <w:i w:val="0"/>
          <w:iCs w:val="0"/>
          <w:color w:val="auto"/>
          <w:kern w:val="2"/>
          <w:sz w:val="32"/>
          <w:szCs w:val="32"/>
          <w:u w:val="none"/>
          <w:lang w:val="en-US" w:eastAsia="zh-CN" w:bidi="ar-SA"/>
        </w:rPr>
        <w:t>将</w:t>
      </w:r>
      <w:r>
        <w:rPr>
          <w:rFonts w:hint="eastAsia" w:ascii="仿宋_GB2312" w:hAnsi="仿宋_GB2312" w:eastAsia="仿宋_GB2312" w:cs="仿宋_GB2312"/>
          <w:color w:val="auto"/>
          <w:kern w:val="2"/>
          <w:sz w:val="32"/>
          <w:szCs w:val="32"/>
          <w:u w:val="none"/>
          <w:lang w:val="en-US" w:eastAsia="zh-CN" w:bidi="ar-SA"/>
        </w:rPr>
        <w:t>优秀技术经理人纳入高层次人才认定</w:t>
      </w:r>
      <w:r>
        <w:rPr>
          <w:rFonts w:hint="eastAsia" w:ascii="仿宋_GB2312" w:hAnsi="仿宋_GB2312" w:eastAsia="仿宋_GB2312" w:cs="仿宋_GB2312"/>
          <w:i w:val="0"/>
          <w:iCs w:val="0"/>
          <w:color w:val="auto"/>
          <w:kern w:val="2"/>
          <w:sz w:val="32"/>
          <w:szCs w:val="32"/>
          <w:u w:val="none"/>
          <w:lang w:val="en-US" w:eastAsia="zh-CN" w:bidi="ar-SA"/>
        </w:rPr>
        <w:t>范围</w:t>
      </w:r>
      <w:r>
        <w:rPr>
          <w:rFonts w:hint="eastAsia" w:ascii="仿宋_GB2312" w:hAnsi="仿宋_GB2312" w:eastAsia="仿宋_GB2312" w:cs="仿宋_GB2312"/>
          <w:color w:val="auto"/>
          <w:kern w:val="2"/>
          <w:sz w:val="32"/>
          <w:szCs w:val="32"/>
          <w:u w:val="none"/>
          <w:lang w:val="en-US" w:eastAsia="zh-CN" w:bidi="ar-SA"/>
        </w:rPr>
        <w:t>。</w:t>
      </w:r>
      <w:r>
        <w:rPr>
          <w:rFonts w:hint="eastAsia" w:ascii="仿宋_GB2312" w:hAnsi="仿宋_GB2312" w:eastAsia="仿宋_GB2312" w:cs="仿宋_GB2312"/>
          <w:color w:val="auto"/>
          <w:kern w:val="2"/>
          <w:sz w:val="32"/>
          <w:szCs w:val="32"/>
          <w:lang w:val="en-US" w:eastAsia="zh-CN" w:bidi="ar-SA"/>
        </w:rPr>
        <w:t>支持产业科研人才双向交流，开展科技副总、产业导师选派工作，在人才评价、职称评审、项目申报等方面予以政策支持。至2030年，</w:t>
      </w:r>
      <w:r>
        <w:rPr>
          <w:rFonts w:hint="eastAsia" w:ascii="仿宋_GB2312" w:hAnsi="仿宋_GB2312" w:eastAsia="仿宋_GB2312" w:cs="仿宋_GB2312"/>
          <w:color w:val="auto"/>
          <w:sz w:val="32"/>
          <w:szCs w:val="32"/>
          <w:lang w:eastAsia="zh-CN"/>
        </w:rPr>
        <w:t>新增培养技术经纪（理）</w:t>
      </w:r>
      <w:r>
        <w:rPr>
          <w:rFonts w:hint="eastAsia" w:ascii="仿宋_GB2312" w:hAnsi="仿宋_GB2312" w:eastAsia="仿宋_GB2312" w:cs="仿宋_GB2312"/>
          <w:color w:val="auto"/>
          <w:sz w:val="32"/>
          <w:szCs w:val="32"/>
          <w:lang w:val="en-US" w:eastAsia="zh-CN"/>
        </w:rPr>
        <w:t>3000人次。</w:t>
      </w:r>
      <w:r>
        <w:rPr>
          <w:rFonts w:hint="eastAsia" w:ascii="楷体_GB2312" w:hAnsi="楷体_GB2312" w:eastAsia="楷体_GB2312" w:cs="楷体_GB2312"/>
          <w:sz w:val="32"/>
          <w:szCs w:val="32"/>
          <w:lang w:val="en-US" w:eastAsia="zh-CN"/>
        </w:rPr>
        <w:t>（责任单位：省委组织部，省财政厅、科技厅、教育厅、人社厅、市场监管局，省创新研究院）</w:t>
      </w:r>
    </w:p>
    <w:p w14:paraId="4E3D97C1">
      <w:pPr>
        <w:keepNext w:val="0"/>
        <w:keepLines w:val="0"/>
        <w:pageBreakBefore w:val="0"/>
        <w:widowControl w:val="0"/>
        <w:pBdr>
          <w:bottom w:val="single" w:color="FFFFFF" w:sz="4" w:space="22"/>
        </w:pBdr>
        <w:shd w:val="clear" w:color="auto" w:fill="FFFFFF"/>
        <w:tabs>
          <w:tab w:val="left" w:pos="1221"/>
        </w:tabs>
        <w:kinsoku/>
        <w:wordWrap/>
        <w:overflowPunct/>
        <w:topLinePunct w:val="0"/>
        <w:autoSpaceDE/>
        <w:autoSpaceDN/>
        <w:bidi w:val="0"/>
        <w:adjustRightInd w:val="0"/>
        <w:snapToGrid w:val="0"/>
        <w:spacing w:before="0" w:beforeAutospacing="0" w:after="0" w:afterAutospacing="0" w:line="560" w:lineRule="exact"/>
        <w:ind w:right="0" w:rightChars="0" w:firstLine="674"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（十）完善科技服务业金融支持</w:t>
      </w:r>
    </w:p>
    <w:p w14:paraId="716EF823">
      <w:pPr>
        <w:keepNext w:val="0"/>
        <w:keepLines w:val="0"/>
        <w:pageBreakBefore w:val="0"/>
        <w:widowControl w:val="0"/>
        <w:numPr>
          <w:ilvl w:val="0"/>
          <w:numId w:val="0"/>
        </w:numPr>
        <w:pBdr>
          <w:bottom w:val="single" w:color="FFFFFF" w:sz="4" w:space="22"/>
        </w:pBdr>
        <w:shd w:val="clear" w:color="auto" w:fill="FFFFFF"/>
        <w:tabs>
          <w:tab w:val="left" w:pos="1221"/>
        </w:tabs>
        <w:kinsoku/>
        <w:wordWrap/>
        <w:overflowPunct/>
        <w:topLinePunct w:val="0"/>
        <w:autoSpaceDE/>
        <w:autoSpaceDN/>
        <w:bidi w:val="0"/>
        <w:adjustRightInd w:val="0"/>
        <w:snapToGrid w:val="0"/>
        <w:spacing w:line="560" w:lineRule="exact"/>
        <w:ind w:firstLine="640"/>
        <w:jc w:val="left"/>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推进财政资金“拨改投”试点，充分利用好“拨改投”资金，设立科创基金，鼓励社会资本参与研发服务领域。优化科技保险政策，深入</w:t>
      </w:r>
      <w:r>
        <w:rPr>
          <w:rFonts w:hint="eastAsia" w:ascii="仿宋_GB2312" w:hAnsi="仿宋_GB2312" w:eastAsia="仿宋_GB2312" w:cs="仿宋_GB2312"/>
          <w:color w:val="auto"/>
          <w:kern w:val="2"/>
          <w:sz w:val="32"/>
          <w:szCs w:val="32"/>
          <w:lang w:val="en-US" w:eastAsia="zh-CN" w:bidi="ar-SA"/>
        </w:rPr>
        <w:t>实施“科技贷”，为科技服务业企业分担创新风险。</w:t>
      </w:r>
      <w:r>
        <w:rPr>
          <w:rFonts w:hint="eastAsia" w:ascii="仿宋_GB2312" w:hAnsi="仿宋_GB2312" w:eastAsia="仿宋_GB2312" w:cs="仿宋_GB2312"/>
          <w:sz w:val="32"/>
          <w:szCs w:val="32"/>
          <w:lang w:val="en-US" w:eastAsia="zh-CN"/>
        </w:rPr>
        <w:t>探索“贷款+外部直投”新模式，通过“贷款+入股选择权”“投贷联动贷款”等业务模式为初创期科技服务业企业提供融资支持。建立完善“知识产权质押融资白名单”，引导银行业机构积极为“白名单”中科技服务业企业提供金融服务。</w:t>
      </w:r>
      <w:r>
        <w:rPr>
          <w:rFonts w:hint="eastAsia" w:ascii="楷体_GB2312" w:hAnsi="楷体_GB2312" w:eastAsia="楷体_GB2312" w:cs="楷体_GB2312"/>
          <w:sz w:val="32"/>
          <w:szCs w:val="32"/>
          <w:lang w:val="en-US" w:eastAsia="zh-CN"/>
        </w:rPr>
        <w:t>（责任单位：省委金融办，省财政厅、科技厅、市场监管局、人民银行福建省分行、福建金融监管局）</w:t>
      </w:r>
    </w:p>
    <w:p w14:paraId="78716750">
      <w:pPr>
        <w:keepNext w:val="0"/>
        <w:keepLines w:val="0"/>
        <w:pageBreakBefore w:val="0"/>
        <w:widowControl w:val="0"/>
        <w:numPr>
          <w:ilvl w:val="0"/>
          <w:numId w:val="0"/>
        </w:numPr>
        <w:pBdr>
          <w:bottom w:val="single" w:color="FFFFFF" w:sz="4" w:space="22"/>
        </w:pBdr>
        <w:shd w:val="clear" w:color="auto" w:fill="FFFFFF"/>
        <w:tabs>
          <w:tab w:val="left" w:pos="1221"/>
        </w:tabs>
        <w:kinsoku/>
        <w:wordWrap/>
        <w:overflowPunct/>
        <w:topLinePunct w:val="0"/>
        <w:autoSpaceDE/>
        <w:autoSpaceDN/>
        <w:bidi w:val="0"/>
        <w:adjustRightInd w:val="0"/>
        <w:snapToGrid w:val="0"/>
        <w:spacing w:line="560" w:lineRule="exact"/>
        <w:ind w:firstLine="640"/>
        <w:jc w:val="left"/>
        <w:textAlignment w:val="auto"/>
        <w:outlineLvl w:val="9"/>
        <w:rPr>
          <w:rFonts w:hint="eastAsia" w:ascii="仿宋_GB2312" w:hAnsi="仿宋_GB2312" w:eastAsia="仿宋_GB2312" w:cs="仿宋_GB2312"/>
          <w:i w:val="0"/>
          <w:iCs w:val="0"/>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本措施自印发之日起施行，</w:t>
      </w:r>
      <w:r>
        <w:rPr>
          <w:rFonts w:hint="eastAsia" w:ascii="仿宋_GB2312" w:hAnsi="仿宋_GB2312" w:eastAsia="仿宋_GB2312" w:cs="仿宋_GB2312"/>
          <w:i w:val="0"/>
          <w:iCs w:val="0"/>
          <w:color w:val="auto"/>
          <w:kern w:val="2"/>
          <w:sz w:val="32"/>
          <w:szCs w:val="32"/>
          <w:lang w:val="en-US" w:eastAsia="zh-CN" w:bidi="ar-SA"/>
        </w:rPr>
        <w:t>有效期</w:t>
      </w:r>
      <w:r>
        <w:rPr>
          <w:rFonts w:hint="eastAsia" w:ascii="仿宋_GB2312" w:hAnsi="仿宋_GB2312" w:eastAsia="仿宋_GB2312" w:cs="仿宋_GB2312"/>
          <w:kern w:val="2"/>
          <w:sz w:val="32"/>
          <w:szCs w:val="32"/>
          <w:lang w:val="en-US" w:eastAsia="zh-CN" w:bidi="ar-SA"/>
        </w:rPr>
        <w:t>至2030年12月31日。</w:t>
      </w:r>
      <w:r>
        <w:rPr>
          <w:rFonts w:hint="eastAsia" w:ascii="仿宋_GB2312" w:hAnsi="仿宋_GB2312" w:eastAsia="仿宋_GB2312" w:cs="仿宋_GB2312"/>
          <w:i w:val="0"/>
          <w:iCs w:val="0"/>
          <w:color w:val="auto"/>
          <w:kern w:val="2"/>
          <w:sz w:val="32"/>
          <w:szCs w:val="32"/>
          <w:lang w:val="en-US" w:eastAsia="zh-CN" w:bidi="ar-SA"/>
        </w:rPr>
        <w:t>厦门市可参照执行，所需资金由厦门市统筹解决。</w:t>
      </w:r>
    </w:p>
    <w:p w14:paraId="26732B1B">
      <w:pPr>
        <w:tabs>
          <w:tab w:val="left" w:pos="5742"/>
        </w:tabs>
        <w:jc w:val="left"/>
        <w:rPr>
          <w:rFonts w:ascii="仿宋" w:hAnsi="仿宋" w:eastAsia="仿宋" w:cs="仿宋"/>
          <w:szCs w:val="32"/>
        </w:rPr>
      </w:pPr>
    </w:p>
    <w:p w14:paraId="402BF643">
      <w:pPr>
        <w:rPr>
          <w:rFonts w:ascii="仿宋" w:hAnsi="仿宋" w:eastAsia="仿宋" w:cs="仿宋"/>
          <w:szCs w:val="32"/>
        </w:rPr>
      </w:pPr>
    </w:p>
    <w:p w14:paraId="0B6C658C">
      <w:pPr>
        <w:rPr>
          <w:rFonts w:ascii="仿宋" w:hAnsi="仿宋" w:eastAsia="仿宋" w:cs="仿宋"/>
          <w:szCs w:val="32"/>
        </w:rPr>
      </w:pPr>
    </w:p>
    <w:p w14:paraId="4A5A02F5">
      <w:pPr>
        <w:rPr>
          <w:rFonts w:ascii="仿宋" w:hAnsi="仿宋" w:eastAsia="仿宋" w:cs="仿宋"/>
          <w:szCs w:val="32"/>
        </w:rPr>
      </w:pPr>
    </w:p>
    <w:p w14:paraId="03CDE71A">
      <w:pPr>
        <w:rPr>
          <w:rFonts w:ascii="仿宋" w:hAnsi="仿宋" w:eastAsia="仿宋" w:cs="仿宋"/>
          <w:szCs w:val="32"/>
        </w:rPr>
      </w:pPr>
    </w:p>
    <w:p w14:paraId="1F0885C1">
      <w:pPr>
        <w:tabs>
          <w:tab w:val="left" w:pos="2397"/>
        </w:tabs>
        <w:jc w:val="left"/>
        <w:rPr>
          <w:rFonts w:ascii="仿宋" w:hAnsi="仿宋" w:eastAsia="仿宋" w:cs="仿宋"/>
          <w:szCs w:val="32"/>
        </w:rPr>
      </w:pPr>
      <w:r>
        <w:rPr>
          <w:rFonts w:hint="eastAsia" w:ascii="仿宋" w:hAnsi="仿宋" w:eastAsia="仿宋" w:cs="仿宋"/>
          <w:szCs w:val="32"/>
        </w:rPr>
        <w:tab/>
      </w:r>
    </w:p>
    <w:p w14:paraId="1A1A1EB3">
      <w:pPr>
        <w:rPr>
          <w:rFonts w:ascii="仿宋" w:hAnsi="仿宋" w:eastAsia="仿宋" w:cs="仿宋"/>
          <w:szCs w:val="32"/>
        </w:rPr>
      </w:pPr>
    </w:p>
    <w:p w14:paraId="59ED5334">
      <w:pPr>
        <w:jc w:val="left"/>
      </w:pPr>
    </w:p>
    <w:p w14:paraId="049C06AF">
      <w:pPr>
        <w:jc w:val="left"/>
      </w:pPr>
    </w:p>
    <w:p w14:paraId="6648C257">
      <w:pPr>
        <w:jc w:val="left"/>
      </w:pPr>
    </w:p>
    <w:p w14:paraId="22B72499">
      <w:pPr>
        <w:jc w:val="left"/>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pPr>
    </w:p>
    <w:p w14:paraId="47CE7489">
      <w:pPr>
        <w:pStyle w:val="2"/>
      </w:pPr>
    </w:p>
    <w:p w14:paraId="179452B3">
      <w:pPr>
        <w:jc w:val="left"/>
      </w:pPr>
    </w:p>
    <w:p w14:paraId="1C1B52EA">
      <w:pPr>
        <w:jc w:val="left"/>
      </w:pPr>
      <w:r>
        <w:pict>
          <v:shape id="_x0000_s2050" o:spid="_x0000_s2050" o:spt="75" alt="http://portal.fj.cegn.cn:8081/lw-zwbg-cloud//core/upload/2026/11/06/20261106094215463.bmp" type="#_x0000_t75" style="position:absolute;left:0pt;margin-left:283.4pt;margin-top:639.1pt;height:36pt;width:145pt;mso-position-horizontal-relative:margin;mso-position-vertical-relative:margin;z-index:251669504;mso-width-relative:page;mso-height-relative:page;" filled="f" o:preferrelative="t" stroked="f" coordsize="21600,21600">
            <v:path/>
            <v:fill on="f" focussize="0,0"/>
            <v:stroke on="f"/>
            <v:imagedata r:id="rId8" r:href="rId9" o:title=""/>
            <o:lock v:ext="edit" aspectratio="f"/>
          </v:shape>
        </w:pict>
      </w:r>
      <w:r>
        <w:rPr>
          <w:rFonts w:hint="eastAsia"/>
        </w:rPr>
        <mc:AlternateContent>
          <mc:Choice Requires="wps">
            <w:drawing>
              <wp:anchor distT="0" distB="0" distL="114300" distR="114300" simplePos="0" relativeHeight="251665408" behindDoc="0" locked="0" layoutInCell="1" allowOverlap="1">
                <wp:simplePos x="0" y="0"/>
                <wp:positionH relativeFrom="margin">
                  <wp:posOffset>-53975</wp:posOffset>
                </wp:positionH>
                <wp:positionV relativeFrom="page">
                  <wp:posOffset>8996045</wp:posOffset>
                </wp:positionV>
                <wp:extent cx="5676900" cy="426720"/>
                <wp:effectExtent l="0" t="0" r="0" b="0"/>
                <wp:wrapTopAndBottom/>
                <wp:docPr id="4" name="CopySendText"/>
                <wp:cNvGraphicFramePr/>
                <a:graphic xmlns:a="http://schemas.openxmlformats.org/drawingml/2006/main">
                  <a:graphicData uri="http://schemas.microsoft.com/office/word/2010/wordprocessingShape">
                    <wps:wsp>
                      <wps:cNvSpPr txBox="1"/>
                      <wps:spPr>
                        <a:xfrm>
                          <a:off x="0" y="0"/>
                          <a:ext cx="5676900" cy="426720"/>
                        </a:xfrm>
                        <a:prstGeom prst="rect">
                          <a:avLst/>
                        </a:prstGeom>
                        <a:noFill/>
                        <a:ln>
                          <a:noFill/>
                        </a:ln>
                      </wps:spPr>
                      <wps:txbx>
                        <w:txbxContent>
                          <w:p w14:paraId="12FD1226">
                            <w:pPr>
                              <w:pStyle w:val="17"/>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0" w:name="draftingdate"/>
                            <w:r>
                              <w:rPr>
                                <w:rFonts w:hint="eastAsia" w:ascii="仿宋" w:hAnsi="仿宋" w:eastAsia="仿宋" w:cs="仿宋"/>
                                <w:color w:val="000000"/>
                                <w:sz w:val="28"/>
                                <w:szCs w:val="28"/>
                                <w:lang w:val="en" w:eastAsia="zh-CN"/>
                              </w:rPr>
                              <w:t>2026年</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lang w:val="en" w:eastAsia="zh-CN"/>
                              </w:rPr>
                              <w:t>月</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val="en" w:eastAsia="zh-CN"/>
                              </w:rPr>
                              <w:t>日</w:t>
                            </w:r>
                            <w:bookmarkEnd w:id="0"/>
                            <w:r>
                              <w:rPr>
                                <w:rFonts w:hint="eastAsia" w:ascii="仿宋" w:hAnsi="仿宋" w:eastAsia="仿宋" w:cs="仿宋"/>
                                <w:color w:val="000000"/>
                                <w:sz w:val="28"/>
                                <w:szCs w:val="28"/>
                                <w:lang w:eastAsia="zh-CN"/>
                              </w:rPr>
                              <w:t>印发</w:t>
                            </w:r>
                          </w:p>
                          <w:p w14:paraId="6453AE70">
                            <w:pPr>
                              <w:pStyle w:val="17"/>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420B37D1">
                            <w:pPr>
                              <w:ind w:firstLine="320" w:firstLineChars="100"/>
                              <w:rPr>
                                <w:rFonts w:ascii="方正仿宋_GBK" w:hAnsi="方正仿宋_GBK" w:eastAsia="方正仿宋_GBK" w:cs="方正仿宋_GBK"/>
                              </w:rPr>
                            </w:pPr>
                          </w:p>
                        </w:txbxContent>
                      </wps:txbx>
                      <wps:bodyPr wrap="square" lIns="0" tIns="0" rIns="0" bIns="0" upright="1"/>
                    </wps:wsp>
                  </a:graphicData>
                </a:graphic>
              </wp:anchor>
            </w:drawing>
          </mc:Choice>
          <mc:Fallback>
            <w:pict>
              <v:shape id="CopySendText" o:spid="_x0000_s1026" o:spt="202" type="#_x0000_t202" style="position:absolute;left:0pt;margin-left:-4.25pt;margin-top:708.35pt;height:33.6pt;width:447pt;mso-position-horizontal-relative:margin;mso-position-vertical-relative:page;mso-wrap-distance-bottom:0pt;mso-wrap-distance-top:0pt;z-index:251665408;mso-width-relative:page;mso-height-relative:page;" filled="f" stroked="f" coordsize="21600,21600" o:gfxdata="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8H2NbaAAAADAEAAA8AAAAAAAAAAQAgAAAAIgAAAGRycy9kb3ducmV2LnhtbFBLAQIU&#10;ABQAAAAIAIdO4kBF8bcLuAEAAIEDAAAOAAAAAAAAAAEAIAAAACkBAABkcnMvZTJvRG9jLnhtbFBL&#10;BQYAAAAABgAGAFkBAABTBQAAAAA=&#10;">
                <v:fill on="f" focussize="0,0"/>
                <v:stroke on="f"/>
                <v:imagedata o:title=""/>
                <o:lock v:ext="edit" aspectratio="f"/>
                <v:textbox inset="0mm,0mm,0mm,0mm">
                  <w:txbxContent>
                    <w:p w14:paraId="12FD1226">
                      <w:pPr>
                        <w:pStyle w:val="17"/>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0" w:name="draftingdate"/>
                      <w:r>
                        <w:rPr>
                          <w:rFonts w:hint="eastAsia" w:ascii="仿宋" w:hAnsi="仿宋" w:eastAsia="仿宋" w:cs="仿宋"/>
                          <w:color w:val="000000"/>
                          <w:sz w:val="28"/>
                          <w:szCs w:val="28"/>
                          <w:lang w:val="en" w:eastAsia="zh-CN"/>
                        </w:rPr>
                        <w:t>2026年</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lang w:val="en" w:eastAsia="zh-CN"/>
                        </w:rPr>
                        <w:t>月</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lang w:val="en" w:eastAsia="zh-CN"/>
                        </w:rPr>
                        <w:t>日</w:t>
                      </w:r>
                      <w:bookmarkEnd w:id="0"/>
                      <w:r>
                        <w:rPr>
                          <w:rFonts w:hint="eastAsia" w:ascii="仿宋" w:hAnsi="仿宋" w:eastAsia="仿宋" w:cs="仿宋"/>
                          <w:color w:val="000000"/>
                          <w:sz w:val="28"/>
                          <w:szCs w:val="28"/>
                          <w:lang w:eastAsia="zh-CN"/>
                        </w:rPr>
                        <w:t>印发</w:t>
                      </w:r>
                    </w:p>
                    <w:p w14:paraId="6453AE70">
                      <w:pPr>
                        <w:pStyle w:val="17"/>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420B37D1">
                      <w:pPr>
                        <w:ind w:firstLine="320" w:firstLineChars="100"/>
                        <w:rPr>
                          <w:rFonts w:ascii="方正仿宋_GBK" w:hAnsi="方正仿宋_GBK" w:eastAsia="方正仿宋_GBK" w:cs="方正仿宋_GBK"/>
                        </w:rPr>
                      </w:pPr>
                    </w:p>
                  </w:txbxContent>
                </v:textbox>
                <w10:wrap type="topAndBottom"/>
              </v:shape>
            </w:pict>
          </mc:Fallback>
        </mc:AlternateContent>
      </w:r>
      <w:r>
        <w:rPr>
          <w:rFonts w:hint="eastAsia" w:ascii="仿宋" w:hAnsi="仿宋" w:eastAsia="仿宋" w:cs="仿宋"/>
          <w:szCs w:val="32"/>
        </w:rPr>
        <mc:AlternateContent>
          <mc:Choice Requires="wps">
            <w:drawing>
              <wp:anchor distT="0" distB="0" distL="114300" distR="114300" simplePos="0" relativeHeight="251664384"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4384;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2"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HtAf1jWAQAA0gMAAA4AAAAAAAAA&#10;AQAgAAAAJQEAAGRycy9lMm9Eb2MueG1sUEsFBgAAAAAGAAYAWQEAAG0FAAAAAA==&#10;">
                <v:fill on="f" focussize="0,0"/>
                <v:stroke weight="0.35pt" color="#000000" joinstyle="round"/>
                <v:imagedata o:title=""/>
                <o:lock v:ext="edit" aspectratio="f"/>
                <w10:wrap type="topAndBottom"/>
              </v:line>
            </w:pict>
          </mc:Fallback>
        </mc:AlternateContent>
      </w:r>
    </w:p>
    <w:sectPr>
      <w:pgSz w:w="11906" w:h="16838"/>
      <w:pgMar w:top="2098" w:right="1531" w:bottom="1984" w:left="1531" w:header="851" w:footer="1417" w:gutter="0"/>
      <w:pgNumType w:fmt="decimal"/>
      <w:cols w:space="0" w:num="1"/>
      <w:titlePg/>
      <w:docGrid w:type="linesAndChars" w:linePitch="579" w:charSpace="36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81289">
    <w:pPr>
      <w:pStyle w:val="6"/>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17BC0">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A817BC0">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1AACF">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rS7GrVAAAABwEAAA8AAAAAAAAAAQAgAAAAIgAAAGRycy9kb3ducmV2LnhtbFBLAQIU&#10;ABQAAAAIAIdO4kDI16cwLwIAAFYEAAAOAAAAAAAAAAEAIAAAACQBAABkcnMvZTJvRG9jLnhtbFBL&#10;BQYAAAAABgAGAFkBAADFBQAAAAA=&#10;">
              <v:fill on="f" focussize="0,0"/>
              <v:stroke on="f" weight="0.5pt"/>
              <v:imagedata o:title=""/>
              <o:lock v:ext="edit" aspectratio="f"/>
              <v:textbox inset="0mm,0mm,0mm,0mm">
                <w:txbxContent>
                  <w:p w14:paraId="2FF1AACF">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199B8">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CaRnGMKw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GoBQ1AAAAAcBAAAPAAAAAAAAAAEAIAAAACIAAABkcnMvZG93bnJldi54bWxQSwECFAAUAAAA&#10;CACHTuJAmkZxjCsCAABXBAAADgAAAAAAAAABACAAAAAjAQAAZHJzL2Uyb0RvYy54bWxQSwUGAAAA&#10;AAYABgBZAQAAwAUAAAAA&#10;">
              <v:fill on="f" focussize="0,0"/>
              <v:stroke on="f" weight="0.5pt"/>
              <v:imagedata o:title=""/>
              <o:lock v:ext="edit" aspectratio="f"/>
              <v:textbox inset="0mm,0mm,0mm,0mm" style="mso-fit-shape-to-text:t;">
                <w:txbxContent>
                  <w:p w14:paraId="105199B8">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96C5C">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45D99">
                          <w:pPr>
                            <w:pStyle w:val="6"/>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5545D99">
                    <w:pPr>
                      <w:pStyle w:val="6"/>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BC2D8">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B6TyTTICAABXBAAADgAAAAAAAAABACAAAAAoAQAAZHJzL2Uyb0Rv&#10;Yy54bWxQSwUGAAAAAAYABgBZAQAAzAUAAAAA&#10;">
              <v:fill on="f" focussize="0,0"/>
              <v:stroke on="f" weight="0.5pt"/>
              <v:imagedata o:title=""/>
              <o:lock v:ext="edit" aspectratio="f"/>
              <v:textbox inset="0mm,0mm,0mm,0mm">
                <w:txbxContent>
                  <w:p w14:paraId="60BBC2D8">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15D42">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E13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566DB"/>
    <w:multiLevelType w:val="singleLevel"/>
    <w:tmpl w:val="96F566D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dit="readOnly" w:enforcement="0"/>
  <w:defaultTabStop w:val="420"/>
  <w:drawingGridHorizontalSpacing w:val="169"/>
  <w:drawingGridVerticalSpacing w:val="579"/>
  <w:displayHorizont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76"/>
    <w:rsid w:val="00005582"/>
    <w:rsid w:val="0001488B"/>
    <w:rsid w:val="00042CD9"/>
    <w:rsid w:val="00076F49"/>
    <w:rsid w:val="0008509C"/>
    <w:rsid w:val="000912B3"/>
    <w:rsid w:val="00091C90"/>
    <w:rsid w:val="000930EA"/>
    <w:rsid w:val="000A78AD"/>
    <w:rsid w:val="000B0804"/>
    <w:rsid w:val="000B37F4"/>
    <w:rsid w:val="000C0C75"/>
    <w:rsid w:val="000C4616"/>
    <w:rsid w:val="000D530D"/>
    <w:rsid w:val="000E5D63"/>
    <w:rsid w:val="001021E1"/>
    <w:rsid w:val="00117550"/>
    <w:rsid w:val="00123B73"/>
    <w:rsid w:val="00124E5D"/>
    <w:rsid w:val="001266B5"/>
    <w:rsid w:val="00131149"/>
    <w:rsid w:val="0013428F"/>
    <w:rsid w:val="0014230F"/>
    <w:rsid w:val="00147F2A"/>
    <w:rsid w:val="00161C86"/>
    <w:rsid w:val="00195806"/>
    <w:rsid w:val="001B3F85"/>
    <w:rsid w:val="001B4B72"/>
    <w:rsid w:val="001E28D8"/>
    <w:rsid w:val="001F1A84"/>
    <w:rsid w:val="0020791A"/>
    <w:rsid w:val="00213B95"/>
    <w:rsid w:val="00225C8C"/>
    <w:rsid w:val="002275D6"/>
    <w:rsid w:val="00234A35"/>
    <w:rsid w:val="002477AC"/>
    <w:rsid w:val="00256B7F"/>
    <w:rsid w:val="002571D7"/>
    <w:rsid w:val="00262B57"/>
    <w:rsid w:val="00271531"/>
    <w:rsid w:val="0027401F"/>
    <w:rsid w:val="00294B23"/>
    <w:rsid w:val="002B4B7E"/>
    <w:rsid w:val="002C3070"/>
    <w:rsid w:val="002C645F"/>
    <w:rsid w:val="002D3BF9"/>
    <w:rsid w:val="00303733"/>
    <w:rsid w:val="0032125D"/>
    <w:rsid w:val="00331238"/>
    <w:rsid w:val="00340571"/>
    <w:rsid w:val="0034486A"/>
    <w:rsid w:val="00364F38"/>
    <w:rsid w:val="003A2C02"/>
    <w:rsid w:val="003D4F4C"/>
    <w:rsid w:val="003D5DCF"/>
    <w:rsid w:val="003E354A"/>
    <w:rsid w:val="003E49F6"/>
    <w:rsid w:val="003F622E"/>
    <w:rsid w:val="00403E53"/>
    <w:rsid w:val="0041121E"/>
    <w:rsid w:val="00425DC8"/>
    <w:rsid w:val="0042728C"/>
    <w:rsid w:val="00450E0C"/>
    <w:rsid w:val="00477744"/>
    <w:rsid w:val="00482BD7"/>
    <w:rsid w:val="0048603F"/>
    <w:rsid w:val="00490A76"/>
    <w:rsid w:val="00492FDB"/>
    <w:rsid w:val="00493759"/>
    <w:rsid w:val="004A0940"/>
    <w:rsid w:val="004A48F6"/>
    <w:rsid w:val="004B2F31"/>
    <w:rsid w:val="004B4BB4"/>
    <w:rsid w:val="004B7095"/>
    <w:rsid w:val="004C10D7"/>
    <w:rsid w:val="004E5E6F"/>
    <w:rsid w:val="00500925"/>
    <w:rsid w:val="005035CA"/>
    <w:rsid w:val="00516460"/>
    <w:rsid w:val="00516FC4"/>
    <w:rsid w:val="00521C11"/>
    <w:rsid w:val="00550D04"/>
    <w:rsid w:val="00552B04"/>
    <w:rsid w:val="00553A65"/>
    <w:rsid w:val="00564193"/>
    <w:rsid w:val="00566C6E"/>
    <w:rsid w:val="00570891"/>
    <w:rsid w:val="00570D35"/>
    <w:rsid w:val="0058219B"/>
    <w:rsid w:val="005A4490"/>
    <w:rsid w:val="005B43B7"/>
    <w:rsid w:val="005B5480"/>
    <w:rsid w:val="005D1E2F"/>
    <w:rsid w:val="005D2F80"/>
    <w:rsid w:val="005D3D20"/>
    <w:rsid w:val="005D627E"/>
    <w:rsid w:val="005E1182"/>
    <w:rsid w:val="005E6C1D"/>
    <w:rsid w:val="005F5C93"/>
    <w:rsid w:val="005F7B2A"/>
    <w:rsid w:val="00601D66"/>
    <w:rsid w:val="00602904"/>
    <w:rsid w:val="00604A74"/>
    <w:rsid w:val="00605286"/>
    <w:rsid w:val="0060555F"/>
    <w:rsid w:val="00606374"/>
    <w:rsid w:val="00612127"/>
    <w:rsid w:val="00633013"/>
    <w:rsid w:val="0065181C"/>
    <w:rsid w:val="00653AF7"/>
    <w:rsid w:val="006555D9"/>
    <w:rsid w:val="0066569D"/>
    <w:rsid w:val="006805A6"/>
    <w:rsid w:val="00686427"/>
    <w:rsid w:val="00694ADA"/>
    <w:rsid w:val="006954D5"/>
    <w:rsid w:val="006A3EBA"/>
    <w:rsid w:val="006A7B0E"/>
    <w:rsid w:val="006A7F24"/>
    <w:rsid w:val="006D77E8"/>
    <w:rsid w:val="006E5016"/>
    <w:rsid w:val="0070075B"/>
    <w:rsid w:val="007007EF"/>
    <w:rsid w:val="0072551D"/>
    <w:rsid w:val="00734539"/>
    <w:rsid w:val="00737D22"/>
    <w:rsid w:val="00761A44"/>
    <w:rsid w:val="00764AC6"/>
    <w:rsid w:val="00772BEF"/>
    <w:rsid w:val="00772ED9"/>
    <w:rsid w:val="00784858"/>
    <w:rsid w:val="007B7D11"/>
    <w:rsid w:val="007C1497"/>
    <w:rsid w:val="007D121C"/>
    <w:rsid w:val="007D1DDC"/>
    <w:rsid w:val="007E5A6C"/>
    <w:rsid w:val="00810567"/>
    <w:rsid w:val="00837E7B"/>
    <w:rsid w:val="00842EB1"/>
    <w:rsid w:val="0086085C"/>
    <w:rsid w:val="00863040"/>
    <w:rsid w:val="008A3C0A"/>
    <w:rsid w:val="008C3CA7"/>
    <w:rsid w:val="008C679F"/>
    <w:rsid w:val="008D5A38"/>
    <w:rsid w:val="008D5C79"/>
    <w:rsid w:val="008F283F"/>
    <w:rsid w:val="00901886"/>
    <w:rsid w:val="00923BEE"/>
    <w:rsid w:val="00964474"/>
    <w:rsid w:val="009739BE"/>
    <w:rsid w:val="00981451"/>
    <w:rsid w:val="00986715"/>
    <w:rsid w:val="009A25BF"/>
    <w:rsid w:val="009A5C43"/>
    <w:rsid w:val="009A6F31"/>
    <w:rsid w:val="009B2E00"/>
    <w:rsid w:val="009B7666"/>
    <w:rsid w:val="009D7F10"/>
    <w:rsid w:val="009E4A90"/>
    <w:rsid w:val="009F60E2"/>
    <w:rsid w:val="009F663A"/>
    <w:rsid w:val="00A26F2C"/>
    <w:rsid w:val="00A351A2"/>
    <w:rsid w:val="00A67975"/>
    <w:rsid w:val="00A81D83"/>
    <w:rsid w:val="00A84097"/>
    <w:rsid w:val="00A91BC4"/>
    <w:rsid w:val="00AA1064"/>
    <w:rsid w:val="00AA1808"/>
    <w:rsid w:val="00AB4DA0"/>
    <w:rsid w:val="00AC62FF"/>
    <w:rsid w:val="00AC7952"/>
    <w:rsid w:val="00AF71EA"/>
    <w:rsid w:val="00B04BE1"/>
    <w:rsid w:val="00B07771"/>
    <w:rsid w:val="00B1196F"/>
    <w:rsid w:val="00B20273"/>
    <w:rsid w:val="00B31C90"/>
    <w:rsid w:val="00B35289"/>
    <w:rsid w:val="00B5260D"/>
    <w:rsid w:val="00B755A6"/>
    <w:rsid w:val="00B83373"/>
    <w:rsid w:val="00B93FD3"/>
    <w:rsid w:val="00BA5F66"/>
    <w:rsid w:val="00BB6486"/>
    <w:rsid w:val="00BC06FF"/>
    <w:rsid w:val="00BC1A90"/>
    <w:rsid w:val="00BD2277"/>
    <w:rsid w:val="00BF0026"/>
    <w:rsid w:val="00BF0AD4"/>
    <w:rsid w:val="00BF0F6A"/>
    <w:rsid w:val="00C014BE"/>
    <w:rsid w:val="00C02ABD"/>
    <w:rsid w:val="00C04226"/>
    <w:rsid w:val="00C156B5"/>
    <w:rsid w:val="00C32FFC"/>
    <w:rsid w:val="00C51DFE"/>
    <w:rsid w:val="00C57827"/>
    <w:rsid w:val="00C60FB3"/>
    <w:rsid w:val="00C64085"/>
    <w:rsid w:val="00C72CAB"/>
    <w:rsid w:val="00C92BA6"/>
    <w:rsid w:val="00CA025B"/>
    <w:rsid w:val="00CC4FC9"/>
    <w:rsid w:val="00CC5125"/>
    <w:rsid w:val="00CD53BB"/>
    <w:rsid w:val="00CE3E3B"/>
    <w:rsid w:val="00CE5526"/>
    <w:rsid w:val="00D03C25"/>
    <w:rsid w:val="00D1235E"/>
    <w:rsid w:val="00D178B8"/>
    <w:rsid w:val="00D2266A"/>
    <w:rsid w:val="00D266A3"/>
    <w:rsid w:val="00D27B98"/>
    <w:rsid w:val="00D42933"/>
    <w:rsid w:val="00D44780"/>
    <w:rsid w:val="00D54D66"/>
    <w:rsid w:val="00D55F82"/>
    <w:rsid w:val="00D715D9"/>
    <w:rsid w:val="00D72EBA"/>
    <w:rsid w:val="00D83DEF"/>
    <w:rsid w:val="00D914D4"/>
    <w:rsid w:val="00D95935"/>
    <w:rsid w:val="00DB3409"/>
    <w:rsid w:val="00DB5E2D"/>
    <w:rsid w:val="00DB6ED3"/>
    <w:rsid w:val="00DB795A"/>
    <w:rsid w:val="00DB7C7F"/>
    <w:rsid w:val="00DE2505"/>
    <w:rsid w:val="00DE3F85"/>
    <w:rsid w:val="00E00732"/>
    <w:rsid w:val="00E12F62"/>
    <w:rsid w:val="00E1628A"/>
    <w:rsid w:val="00E6029D"/>
    <w:rsid w:val="00E646DC"/>
    <w:rsid w:val="00E71E81"/>
    <w:rsid w:val="00E7618F"/>
    <w:rsid w:val="00E81227"/>
    <w:rsid w:val="00E91E64"/>
    <w:rsid w:val="00EA02E9"/>
    <w:rsid w:val="00EA37F8"/>
    <w:rsid w:val="00EC6E29"/>
    <w:rsid w:val="00EC725C"/>
    <w:rsid w:val="00ED4676"/>
    <w:rsid w:val="00EE5CB3"/>
    <w:rsid w:val="00F276E0"/>
    <w:rsid w:val="00F32450"/>
    <w:rsid w:val="00F42CBB"/>
    <w:rsid w:val="00F50D65"/>
    <w:rsid w:val="00F54F05"/>
    <w:rsid w:val="00F56F42"/>
    <w:rsid w:val="00F572DC"/>
    <w:rsid w:val="00F73798"/>
    <w:rsid w:val="00F80926"/>
    <w:rsid w:val="00F80A33"/>
    <w:rsid w:val="00F81B52"/>
    <w:rsid w:val="00F926DB"/>
    <w:rsid w:val="00F95151"/>
    <w:rsid w:val="00FB2D3C"/>
    <w:rsid w:val="00FE0985"/>
    <w:rsid w:val="00FE09DE"/>
    <w:rsid w:val="00FE49D8"/>
    <w:rsid w:val="01C04572"/>
    <w:rsid w:val="0200759A"/>
    <w:rsid w:val="02400EDB"/>
    <w:rsid w:val="029C09AA"/>
    <w:rsid w:val="03464D22"/>
    <w:rsid w:val="03C258A6"/>
    <w:rsid w:val="0530461C"/>
    <w:rsid w:val="05506A0D"/>
    <w:rsid w:val="058D5D6A"/>
    <w:rsid w:val="08EB41DA"/>
    <w:rsid w:val="09986A40"/>
    <w:rsid w:val="09B06BC6"/>
    <w:rsid w:val="0A1B382C"/>
    <w:rsid w:val="0B9E4D79"/>
    <w:rsid w:val="0BAD1719"/>
    <w:rsid w:val="0BE91CD8"/>
    <w:rsid w:val="0C7876DE"/>
    <w:rsid w:val="0CBC75EC"/>
    <w:rsid w:val="0EA85C4B"/>
    <w:rsid w:val="0F6600AF"/>
    <w:rsid w:val="0FB84E16"/>
    <w:rsid w:val="0FBEA19F"/>
    <w:rsid w:val="101D3D97"/>
    <w:rsid w:val="10E1421E"/>
    <w:rsid w:val="115300CC"/>
    <w:rsid w:val="11AA50A6"/>
    <w:rsid w:val="11F21C0D"/>
    <w:rsid w:val="12143606"/>
    <w:rsid w:val="12522C29"/>
    <w:rsid w:val="12A63952"/>
    <w:rsid w:val="146B01F5"/>
    <w:rsid w:val="14C209E1"/>
    <w:rsid w:val="151A0EB9"/>
    <w:rsid w:val="152F41A7"/>
    <w:rsid w:val="15B06D27"/>
    <w:rsid w:val="16730261"/>
    <w:rsid w:val="167B7793"/>
    <w:rsid w:val="16847379"/>
    <w:rsid w:val="174952E3"/>
    <w:rsid w:val="17BF2FBA"/>
    <w:rsid w:val="17CF26F4"/>
    <w:rsid w:val="180E4516"/>
    <w:rsid w:val="18807EC5"/>
    <w:rsid w:val="18F73A05"/>
    <w:rsid w:val="19505B53"/>
    <w:rsid w:val="19650C20"/>
    <w:rsid w:val="197A371F"/>
    <w:rsid w:val="198B61EA"/>
    <w:rsid w:val="19E645F6"/>
    <w:rsid w:val="1A5237D2"/>
    <w:rsid w:val="1B3C0A64"/>
    <w:rsid w:val="1B6066CC"/>
    <w:rsid w:val="1BB51712"/>
    <w:rsid w:val="1D33228F"/>
    <w:rsid w:val="1DDD26C2"/>
    <w:rsid w:val="1DE2263C"/>
    <w:rsid w:val="1DF82449"/>
    <w:rsid w:val="1E6D0A91"/>
    <w:rsid w:val="1FAE63A5"/>
    <w:rsid w:val="21432B13"/>
    <w:rsid w:val="21D840EA"/>
    <w:rsid w:val="220D2283"/>
    <w:rsid w:val="22AB5A55"/>
    <w:rsid w:val="235B5D48"/>
    <w:rsid w:val="23A25E18"/>
    <w:rsid w:val="24A91D78"/>
    <w:rsid w:val="24BC297A"/>
    <w:rsid w:val="251A012E"/>
    <w:rsid w:val="252D6C96"/>
    <w:rsid w:val="25300745"/>
    <w:rsid w:val="25E92592"/>
    <w:rsid w:val="2629060B"/>
    <w:rsid w:val="2750515B"/>
    <w:rsid w:val="278D39F6"/>
    <w:rsid w:val="27AF661D"/>
    <w:rsid w:val="297B5D11"/>
    <w:rsid w:val="2A2C1855"/>
    <w:rsid w:val="2A877062"/>
    <w:rsid w:val="2A916321"/>
    <w:rsid w:val="2AA25C73"/>
    <w:rsid w:val="2AAE4CAC"/>
    <w:rsid w:val="2B8425B8"/>
    <w:rsid w:val="2BAB5963"/>
    <w:rsid w:val="2BD90080"/>
    <w:rsid w:val="2C5E4109"/>
    <w:rsid w:val="2D1E2E0D"/>
    <w:rsid w:val="2D3958FA"/>
    <w:rsid w:val="2DB3575A"/>
    <w:rsid w:val="2E12396E"/>
    <w:rsid w:val="2E8558DC"/>
    <w:rsid w:val="2F662290"/>
    <w:rsid w:val="2FD72A4D"/>
    <w:rsid w:val="2FD77A12"/>
    <w:rsid w:val="2FFA63C6"/>
    <w:rsid w:val="324D4936"/>
    <w:rsid w:val="33120C35"/>
    <w:rsid w:val="33272ACC"/>
    <w:rsid w:val="33761233"/>
    <w:rsid w:val="338741F3"/>
    <w:rsid w:val="33C21221"/>
    <w:rsid w:val="34BB769F"/>
    <w:rsid w:val="350533A4"/>
    <w:rsid w:val="35484EA0"/>
    <w:rsid w:val="356912F5"/>
    <w:rsid w:val="35765D4C"/>
    <w:rsid w:val="35E60FE7"/>
    <w:rsid w:val="35ED1A54"/>
    <w:rsid w:val="36BB6FFC"/>
    <w:rsid w:val="36BC4B2B"/>
    <w:rsid w:val="373F6568"/>
    <w:rsid w:val="378C7AF8"/>
    <w:rsid w:val="37C33808"/>
    <w:rsid w:val="382240DD"/>
    <w:rsid w:val="38931923"/>
    <w:rsid w:val="38C7624D"/>
    <w:rsid w:val="39296970"/>
    <w:rsid w:val="3AA6DAF7"/>
    <w:rsid w:val="3B1B5A68"/>
    <w:rsid w:val="3B8813DF"/>
    <w:rsid w:val="3BD232D5"/>
    <w:rsid w:val="3BD26706"/>
    <w:rsid w:val="3C037495"/>
    <w:rsid w:val="3CC44E88"/>
    <w:rsid w:val="3F931636"/>
    <w:rsid w:val="3F960507"/>
    <w:rsid w:val="3FCFD3A4"/>
    <w:rsid w:val="3FF5D3D3"/>
    <w:rsid w:val="3FFC3E1A"/>
    <w:rsid w:val="4106713A"/>
    <w:rsid w:val="411C3818"/>
    <w:rsid w:val="41E52835"/>
    <w:rsid w:val="41EE5A86"/>
    <w:rsid w:val="42452002"/>
    <w:rsid w:val="43505172"/>
    <w:rsid w:val="44045815"/>
    <w:rsid w:val="44606302"/>
    <w:rsid w:val="4499217C"/>
    <w:rsid w:val="44C6514F"/>
    <w:rsid w:val="44F45605"/>
    <w:rsid w:val="44FA7072"/>
    <w:rsid w:val="453845E4"/>
    <w:rsid w:val="46241DD5"/>
    <w:rsid w:val="462E3142"/>
    <w:rsid w:val="46EA7D19"/>
    <w:rsid w:val="46FB797D"/>
    <w:rsid w:val="47E301F3"/>
    <w:rsid w:val="47FC0720"/>
    <w:rsid w:val="480E1419"/>
    <w:rsid w:val="485D76A5"/>
    <w:rsid w:val="489B0AF2"/>
    <w:rsid w:val="49483E90"/>
    <w:rsid w:val="4A092044"/>
    <w:rsid w:val="4A0B5830"/>
    <w:rsid w:val="4BB02B74"/>
    <w:rsid w:val="4E29568B"/>
    <w:rsid w:val="4F007DE3"/>
    <w:rsid w:val="50DA0D01"/>
    <w:rsid w:val="51367439"/>
    <w:rsid w:val="51741E81"/>
    <w:rsid w:val="51CB1992"/>
    <w:rsid w:val="5208735D"/>
    <w:rsid w:val="53AE44E5"/>
    <w:rsid w:val="542B3CCF"/>
    <w:rsid w:val="54877E51"/>
    <w:rsid w:val="54D165DD"/>
    <w:rsid w:val="56D82E2E"/>
    <w:rsid w:val="579851C1"/>
    <w:rsid w:val="57D29031"/>
    <w:rsid w:val="582176A3"/>
    <w:rsid w:val="58391E50"/>
    <w:rsid w:val="58ED7C40"/>
    <w:rsid w:val="59293523"/>
    <w:rsid w:val="5959606B"/>
    <w:rsid w:val="59792F4E"/>
    <w:rsid w:val="5A1029F4"/>
    <w:rsid w:val="5A510881"/>
    <w:rsid w:val="5A57687C"/>
    <w:rsid w:val="5B370F76"/>
    <w:rsid w:val="5B563719"/>
    <w:rsid w:val="5B9E71DC"/>
    <w:rsid w:val="5BAA2F91"/>
    <w:rsid w:val="5CBA64FE"/>
    <w:rsid w:val="5CD6115D"/>
    <w:rsid w:val="5D5A6E09"/>
    <w:rsid w:val="5D8D2812"/>
    <w:rsid w:val="5D917125"/>
    <w:rsid w:val="5DE10276"/>
    <w:rsid w:val="5E4962EB"/>
    <w:rsid w:val="5EDF57B7"/>
    <w:rsid w:val="5EE68205"/>
    <w:rsid w:val="5F224280"/>
    <w:rsid w:val="5F350C62"/>
    <w:rsid w:val="5F6D7F51"/>
    <w:rsid w:val="5FA84C39"/>
    <w:rsid w:val="5FFB207B"/>
    <w:rsid w:val="60435B53"/>
    <w:rsid w:val="604A1451"/>
    <w:rsid w:val="61711E91"/>
    <w:rsid w:val="6192389C"/>
    <w:rsid w:val="61F70B90"/>
    <w:rsid w:val="62407C39"/>
    <w:rsid w:val="63036CBC"/>
    <w:rsid w:val="63D80686"/>
    <w:rsid w:val="658B6068"/>
    <w:rsid w:val="658C64AA"/>
    <w:rsid w:val="66433FC9"/>
    <w:rsid w:val="6707137A"/>
    <w:rsid w:val="671261C7"/>
    <w:rsid w:val="68807F8D"/>
    <w:rsid w:val="69045857"/>
    <w:rsid w:val="69065B02"/>
    <w:rsid w:val="6B804932"/>
    <w:rsid w:val="6BAE6ED1"/>
    <w:rsid w:val="6C63599C"/>
    <w:rsid w:val="6C957420"/>
    <w:rsid w:val="6CEA578E"/>
    <w:rsid w:val="6E8F6F36"/>
    <w:rsid w:val="6F454CBB"/>
    <w:rsid w:val="6FED77F3"/>
    <w:rsid w:val="7175790F"/>
    <w:rsid w:val="72CB242A"/>
    <w:rsid w:val="72CC2718"/>
    <w:rsid w:val="73295BCF"/>
    <w:rsid w:val="73A501F7"/>
    <w:rsid w:val="73FF2A32"/>
    <w:rsid w:val="747508CA"/>
    <w:rsid w:val="747C3F17"/>
    <w:rsid w:val="74BF050A"/>
    <w:rsid w:val="74C040FE"/>
    <w:rsid w:val="74DD33C7"/>
    <w:rsid w:val="75473ACF"/>
    <w:rsid w:val="75555038"/>
    <w:rsid w:val="75F303DF"/>
    <w:rsid w:val="75FEBB91"/>
    <w:rsid w:val="762F22C8"/>
    <w:rsid w:val="76362CA6"/>
    <w:rsid w:val="76E87845"/>
    <w:rsid w:val="76F97C63"/>
    <w:rsid w:val="771A41DC"/>
    <w:rsid w:val="776A1721"/>
    <w:rsid w:val="7873160F"/>
    <w:rsid w:val="789F6213"/>
    <w:rsid w:val="78CC7121"/>
    <w:rsid w:val="79330058"/>
    <w:rsid w:val="79704DCF"/>
    <w:rsid w:val="7A795F15"/>
    <w:rsid w:val="7A7D5F36"/>
    <w:rsid w:val="7C2E139C"/>
    <w:rsid w:val="7D59721C"/>
    <w:rsid w:val="7D647E3A"/>
    <w:rsid w:val="7D7F17C3"/>
    <w:rsid w:val="7E9D7FFA"/>
    <w:rsid w:val="7EF433FC"/>
    <w:rsid w:val="7EFE20BC"/>
    <w:rsid w:val="7FCF3178"/>
    <w:rsid w:val="7FED068C"/>
    <w:rsid w:val="7FFF1B46"/>
    <w:rsid w:val="B63B6FD4"/>
    <w:rsid w:val="BBDD1024"/>
    <w:rsid w:val="BEFA5065"/>
    <w:rsid w:val="BFDFFD7F"/>
    <w:rsid w:val="BFF798C2"/>
    <w:rsid w:val="BFFD8242"/>
    <w:rsid w:val="C5FF0FDB"/>
    <w:rsid w:val="C6DEF02F"/>
    <w:rsid w:val="CED2A2CB"/>
    <w:rsid w:val="DEBBE1DE"/>
    <w:rsid w:val="F3FE1D6C"/>
    <w:rsid w:val="F563632A"/>
    <w:rsid w:val="F5FB8056"/>
    <w:rsid w:val="F89DB724"/>
    <w:rsid w:val="FABF11D9"/>
    <w:rsid w:val="FBD7082E"/>
    <w:rsid w:val="FE7963C8"/>
    <w:rsid w:val="FFA93F81"/>
    <w:rsid w:val="FFDB530A"/>
    <w:rsid w:val="FFEF42D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99CCFF"/>
      <v:shadow on="t" obscured="f" color="#990000" opacity="65536f" offset="2pt,2pt" offset2="0pt,0pt" origin="0f,0f" matrix="65536f,0f,0f,65536f,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firstLine="360"/>
    </w:pPr>
  </w:style>
  <w:style w:type="paragraph" w:styleId="3">
    <w:name w:val="Body Text Indent"/>
    <w:basedOn w:val="1"/>
    <w:qFormat/>
    <w:uiPriority w:val="0"/>
    <w:pPr>
      <w:spacing w:after="120"/>
      <w:ind w:left="360"/>
    </w:pPr>
    <w:rPr>
      <w:rFonts w:ascii="Calibri" w:hAnsi="Calibri" w:cs="Times New Roman"/>
      <w:lang w:bidi="ar-SA"/>
    </w:rPr>
  </w:style>
  <w:style w:type="paragraph" w:styleId="4">
    <w:name w:val="Date"/>
    <w:basedOn w:val="1"/>
    <w:next w:val="1"/>
    <w:link w:val="13"/>
    <w:qFormat/>
    <w:uiPriority w:val="0"/>
    <w:rPr>
      <w:rFonts w:ascii="仿宋_GB2312"/>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0"/>
    <w:pPr>
      <w:spacing w:line="600" w:lineRule="exact"/>
      <w:jc w:val="center"/>
    </w:pPr>
    <w:rPr>
      <w:rFonts w:ascii="楷体_GB2312" w:eastAsia="楷体_GB2312"/>
      <w:sz w:val="32"/>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customStyle="1" w:styleId="13">
    <w:name w:val="日期 字符"/>
    <w:basedOn w:val="11"/>
    <w:link w:val="4"/>
    <w:qFormat/>
    <w:uiPriority w:val="0"/>
    <w:rPr>
      <w:rFonts w:ascii="仿宋_GB2312" w:eastAsia="仿宋_GB2312"/>
      <w:kern w:val="2"/>
      <w:sz w:val="32"/>
      <w:szCs w:val="24"/>
    </w:rPr>
  </w:style>
  <w:style w:type="character" w:customStyle="1" w:styleId="14">
    <w:name w:val="批注框文本 字符"/>
    <w:basedOn w:val="11"/>
    <w:link w:val="5"/>
    <w:qFormat/>
    <w:uiPriority w:val="0"/>
    <w:rPr>
      <w:rFonts w:eastAsia="仿宋_GB2312"/>
      <w:kern w:val="2"/>
      <w:sz w:val="18"/>
      <w:szCs w:val="18"/>
    </w:rPr>
  </w:style>
  <w:style w:type="character" w:customStyle="1" w:styleId="15">
    <w:name w:val="页眉 字符"/>
    <w:basedOn w:val="11"/>
    <w:link w:val="7"/>
    <w:qFormat/>
    <w:uiPriority w:val="0"/>
    <w:rPr>
      <w:rFonts w:eastAsia="仿宋_GB2312"/>
      <w:kern w:val="2"/>
      <w:sz w:val="18"/>
      <w:szCs w:val="18"/>
    </w:rPr>
  </w:style>
  <w:style w:type="paragraph" w:customStyle="1" w:styleId="16">
    <w:name w:val="Heading #2|1"/>
    <w:basedOn w:val="1"/>
    <w:qFormat/>
    <w:uiPriority w:val="0"/>
    <w:pPr>
      <w:spacing w:before="390" w:after="580" w:line="605" w:lineRule="exact"/>
      <w:jc w:val="center"/>
      <w:outlineLvl w:val="1"/>
    </w:pPr>
    <w:rPr>
      <w:rFonts w:ascii="宋体" w:hAnsi="宋体" w:eastAsia="宋体" w:cs="宋体"/>
      <w:sz w:val="44"/>
      <w:szCs w:val="44"/>
      <w:lang w:val="zh-TW" w:eastAsia="zh-TW" w:bidi="zh-TW"/>
    </w:rPr>
  </w:style>
  <w:style w:type="paragraph" w:customStyle="1" w:styleId="17">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8">
    <w:name w:val="Body text|2"/>
    <w:basedOn w:val="1"/>
    <w:qFormat/>
    <w:uiPriority w:val="0"/>
    <w:pPr>
      <w:spacing w:after="240"/>
      <w:jc w:val="center"/>
    </w:pPr>
    <w:rPr>
      <w:rFonts w:ascii="宋体" w:hAnsi="宋体" w:eastAsia="宋体" w:cs="宋体"/>
      <w:sz w:val="34"/>
      <w:szCs w:val="34"/>
      <w:lang w:val="zh-TW" w:eastAsia="zh-TW" w:bidi="zh-TW"/>
    </w:rPr>
  </w:style>
  <w:style w:type="paragraph" w:customStyle="1" w:styleId="19">
    <w:name w:val="Other|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20">
    <w:name w:val="Header or footer|1"/>
    <w:basedOn w:val="1"/>
    <w:qFormat/>
    <w:uiPriority w:val="0"/>
    <w:rPr>
      <w:rFonts w:ascii="宋体" w:hAnsi="宋体" w:eastAsia="宋体" w:cs="宋体"/>
      <w:sz w:val="30"/>
      <w:szCs w:val="3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http://portal.fj.cegn.cn:8081/lw-zwbg-cloud//core/upload/2026/11/06/20261106094215463.bmp" TargetMode="Externa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 </Company>
  <Pages>10</Pages>
  <Words>239</Words>
  <Characters>243</Characters>
  <Lines>6</Lines>
  <Paragraphs>1</Paragraphs>
  <TotalTime>1</TotalTime>
  <ScaleCrop>false</ScaleCrop>
  <LinksUpToDate>false</LinksUpToDate>
  <CharactersWithSpaces>419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2013-10-17T09:18:00Z</dcterms:created>
  <dc:creator>hwenfeng</dc:creator>
  <cp:lastModifiedBy>18150</cp:lastModifiedBy>
  <cp:lastPrinted>2021-12-09T17:34:00Z</cp:lastPrinted>
  <dcterms:modified xsi:type="dcterms:W3CDTF">2026-11-06T11:29:41Z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A471CB491B6444D79A77C274A3773971_13</vt:lpwstr>
  </property>
</Properties>
</file>