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92159"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</w:p>
    <w:p w14:paraId="5621E53F">
      <w:pPr>
        <w:snapToGrid w:val="0"/>
        <w:spacing w:line="600" w:lineRule="exact"/>
        <w:ind w:right="800"/>
        <w:rPr>
          <w:rFonts w:hint="eastAsia" w:ascii="黑体" w:eastAsia="黑体"/>
          <w:b/>
          <w:szCs w:val="32"/>
        </w:rPr>
      </w:pPr>
    </w:p>
    <w:p w14:paraId="4C0AFF30"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2467610</wp:posOffset>
                </wp:positionV>
                <wp:extent cx="5622925" cy="110299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925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9B0FB4">
                            <w:pPr>
                              <w:snapToGrid w:val="0"/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pacing w:val="-34"/>
                                <w:w w:val="52"/>
                                <w:kern w:val="0"/>
                                <w:sz w:val="112"/>
                                <w:szCs w:val="112"/>
                              </w:rPr>
                            </w:pPr>
                            <w:bookmarkStart w:id="6" w:name="RedHead"/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34"/>
                                <w:w w:val="52"/>
                                <w:kern w:val="0"/>
                                <w:sz w:val="114"/>
                                <w:szCs w:val="114"/>
                                <w:lang w:val="en-US" w:eastAsia="zh-CN"/>
                              </w:rPr>
                              <w:t>中共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34"/>
                                <w:w w:val="52"/>
                                <w:kern w:val="0"/>
                                <w:sz w:val="114"/>
                                <w:szCs w:val="114"/>
                              </w:rPr>
                              <w:t>福建省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34"/>
                                <w:w w:val="52"/>
                                <w:kern w:val="0"/>
                                <w:sz w:val="114"/>
                                <w:szCs w:val="114"/>
                                <w:lang w:val="en-US" w:eastAsia="zh-CN"/>
                              </w:rPr>
                              <w:t>委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34"/>
                                <w:w w:val="52"/>
                                <w:kern w:val="0"/>
                                <w:sz w:val="114"/>
                                <w:szCs w:val="114"/>
                              </w:rPr>
                              <w:t>科技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34"/>
                                <w:w w:val="52"/>
                                <w:kern w:val="0"/>
                                <w:sz w:val="114"/>
                                <w:szCs w:val="114"/>
                                <w:lang w:val="en-US" w:eastAsia="zh-CN"/>
                              </w:rPr>
                              <w:t>委员会办公室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34"/>
                                <w:w w:val="52"/>
                                <w:kern w:val="0"/>
                                <w:sz w:val="114"/>
                                <w:szCs w:val="114"/>
                              </w:rPr>
                              <w:t>文件</w:t>
                            </w:r>
                            <w:bookmarkEnd w:id="6"/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5pt;margin-top:194.3pt;height:86.85pt;width:442.75pt;mso-position-vertical-relative:page;z-index:251664384;mso-width-relative:page;mso-height-relative:page;" filled="f" stroked="f" coordsize="21600,21600" o:gfxdata="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9+sM59oAAAAKAQAADwAAAAAAAAABACAAAAAiAAAAZHJzL2Rvd25yZXYueG1s&#10;UEsBAhQAFAAAAAgAh07iQD22iWu9AQAAd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79B0FB4">
                      <w:pPr>
                        <w:snapToGrid w:val="0"/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spacing w:val="-34"/>
                          <w:w w:val="52"/>
                          <w:kern w:val="0"/>
                          <w:sz w:val="112"/>
                          <w:szCs w:val="112"/>
                        </w:rPr>
                      </w:pPr>
                      <w:bookmarkStart w:id="6" w:name="RedHead"/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34"/>
                          <w:w w:val="52"/>
                          <w:kern w:val="0"/>
                          <w:sz w:val="114"/>
                          <w:szCs w:val="114"/>
                          <w:lang w:val="en-US" w:eastAsia="zh-CN"/>
                        </w:rPr>
                        <w:t>中共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34"/>
                          <w:w w:val="52"/>
                          <w:kern w:val="0"/>
                          <w:sz w:val="114"/>
                          <w:szCs w:val="114"/>
                        </w:rPr>
                        <w:t>福建省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34"/>
                          <w:w w:val="52"/>
                          <w:kern w:val="0"/>
                          <w:sz w:val="114"/>
                          <w:szCs w:val="114"/>
                          <w:lang w:val="en-US" w:eastAsia="zh-CN"/>
                        </w:rPr>
                        <w:t>委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34"/>
                          <w:w w:val="52"/>
                          <w:kern w:val="0"/>
                          <w:sz w:val="114"/>
                          <w:szCs w:val="114"/>
                        </w:rPr>
                        <w:t>科技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34"/>
                          <w:w w:val="52"/>
                          <w:kern w:val="0"/>
                          <w:sz w:val="114"/>
                          <w:szCs w:val="114"/>
                          <w:lang w:val="en-US" w:eastAsia="zh-CN"/>
                        </w:rPr>
                        <w:t>委员会办公室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34"/>
                          <w:w w:val="52"/>
                          <w:kern w:val="0"/>
                          <w:sz w:val="114"/>
                          <w:szCs w:val="114"/>
                        </w:rPr>
                        <w:t>文件</w:t>
                      </w:r>
                      <w:bookmarkEnd w:id="6"/>
                    </w:p>
                  </w:txbxContent>
                </v:textbox>
              </v:shape>
            </w:pict>
          </mc:Fallback>
        </mc:AlternateContent>
      </w:r>
    </w:p>
    <w:p w14:paraId="2E4782C1"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</w:p>
    <w:p w14:paraId="7A87F456">
      <w:pPr>
        <w:snapToGrid w:val="0"/>
        <w:spacing w:line="600" w:lineRule="exact"/>
        <w:ind w:right="160"/>
        <w:jc w:val="both"/>
        <w:rPr>
          <w:rFonts w:hint="eastAsia" w:ascii="黑体" w:eastAsia="黑体"/>
          <w:b/>
          <w:szCs w:val="32"/>
        </w:rPr>
      </w:pPr>
    </w:p>
    <w:p w14:paraId="36964F3A">
      <w:pPr>
        <w:snapToGrid w:val="0"/>
        <w:spacing w:line="600" w:lineRule="exact"/>
        <w:ind w:right="160"/>
        <w:jc w:val="both"/>
        <w:rPr>
          <w:rFonts w:hint="eastAsia" w:ascii="黑体" w:eastAsia="黑体"/>
          <w:b/>
          <w:szCs w:val="32"/>
        </w:rPr>
      </w:pPr>
    </w:p>
    <w:p w14:paraId="30E9DF45"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  <w:lang w:eastAsia="zh-CN"/>
        </w:rPr>
      </w:pPr>
    </w:p>
    <w:p w14:paraId="6FA1AD1B">
      <w:pPr>
        <w:snapToGrid w:val="0"/>
        <w:spacing w:line="600" w:lineRule="exact"/>
        <w:ind w:right="160"/>
        <w:jc w:val="center"/>
        <w:rPr>
          <w:rFonts w:hint="eastAsia" w:ascii="黑体" w:eastAsia="仿宋_GB2312"/>
          <w:b/>
          <w:szCs w:val="32"/>
          <w:lang w:eastAsia="zh-CN"/>
        </w:rPr>
      </w:pPr>
      <w:bookmarkStart w:id="0" w:name="dispatchnumber"/>
      <w:r>
        <w:rPr>
          <w:rFonts w:hint="eastAsia"/>
        </w:rPr>
        <w:t>闽科委办〔20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 xml:space="preserve">2 </w:t>
      </w:r>
      <w:r>
        <w:rPr>
          <w:rFonts w:hint="eastAsia"/>
        </w:rPr>
        <w:t>号</w:t>
      </w:r>
      <w:bookmarkEnd w:id="0"/>
    </w:p>
    <w:p w14:paraId="4C7A82C9"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177800</wp:posOffset>
                </wp:positionV>
                <wp:extent cx="5638165" cy="508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165" cy="50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pt;margin-top:14pt;height:0.4pt;width:443.95pt;z-index:251663360;mso-width-relative:page;mso-height-relative:page;" filled="f" stroked="t" coordsize="21600,21600" o:gfxdata="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AjddDYAAAACAEAAA8AAAAAAAAAAQAgAAAAIgAAAGRycy9k&#10;b3ducmV2LnhtbFBLAQIUABQAAAAIAIdO4kBNQkGxAgIAAPQDAAAOAAAAAAAAAAEAIAAAACcBAABk&#10;cnMvZTJvRG9jLnhtbFBLBQYAAAAABgAGAFkBAACb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0F08424"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</w:p>
    <w:p w14:paraId="2DB3CCAB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1" w:name="dispatchname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中共福建省委科技委员会办公室关于</w:t>
      </w:r>
    </w:p>
    <w:p w14:paraId="1EBD3837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推广“企业家+科学家+投资人”</w:t>
      </w:r>
    </w:p>
    <w:p w14:paraId="4F55D14E">
      <w:pPr>
        <w:snapToGrid w:val="0"/>
        <w:spacing w:line="6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协同创新模式的通知</w:t>
      </w:r>
      <w:bookmarkEnd w:id="1"/>
    </w:p>
    <w:p w14:paraId="2B121BA7">
      <w:pPr>
        <w:spacing w:line="600" w:lineRule="exact"/>
        <w:rPr>
          <w:rFonts w:hint="eastAsia" w:ascii="仿宋_GB2312" w:hAnsi="仿宋_GB2312" w:cs="仿宋_GB2312"/>
          <w:bCs/>
          <w:lang w:eastAsia="zh-CN"/>
        </w:rPr>
      </w:pPr>
      <w:bookmarkStart w:id="2" w:name="maindelivery"/>
    </w:p>
    <w:p w14:paraId="16D05461">
      <w:pPr>
        <w:spacing w:line="600" w:lineRule="exact"/>
        <w:rPr>
          <w:rFonts w:hint="eastAsia" w:ascii="仿宋_GB2312" w:hAnsi="仿宋_GB2312" w:eastAsia="仿宋_GB2312" w:cs="仿宋_GB2312"/>
          <w:sz w:val="18"/>
          <w:szCs w:val="18"/>
        </w:rPr>
      </w:pPr>
      <w:bookmarkStart w:id="8" w:name="_GoBack"/>
      <w:r>
        <w:rPr>
          <w:rFonts w:hint="eastAsia" w:ascii="仿宋_GB2312" w:hAnsi="仿宋_GB2312" w:cs="仿宋_GB2312"/>
          <w:bCs/>
          <w:lang w:eastAsia="zh-CN"/>
        </w:rPr>
        <w:t>省委科技委成员单位，各设区市市委科技办、平潭综合实验区经发局</w:t>
      </w:r>
      <w:bookmarkEnd w:id="2"/>
      <w:r>
        <w:rPr>
          <w:rFonts w:hint="eastAsia" w:ascii="仿宋_GB2312" w:hAnsi="仿宋_GB2312" w:eastAsia="仿宋_GB2312" w:cs="仿宋_GB2312"/>
          <w:bCs/>
        </w:rPr>
        <w:t>：</w:t>
      </w:r>
    </w:p>
    <w:p w14:paraId="67EDC5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近期，全省各级各部门深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入学习贯彻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习近平总书记关于科技创新和产业创新的重要论述，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认真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落实中央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和省委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经济工作会议精神及省政府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工作报告的部署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要求，聚焦推动科技创新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产业创新深度融合，积极探索、大胆实践，形成了一批可复制推广的创新成果。其中，“企业家+科学家+投资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 w:bidi="ar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”协同创新等模式成效显著，有效促进了创新链、产业链、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人才链和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资金链的精准对接与深度融合。</w:t>
      </w:r>
    </w:p>
    <w:p w14:paraId="2A486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经梳理总结，现将晋江市、莆田市等地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创新模式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予以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推广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。请各地各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 w:bidi="ar"/>
        </w:rPr>
        <w:t>有关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部门结合实际，认真学习借鉴，持续深化改革创新，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进一步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强化有组织的科研攻关、成果转化及创业投资，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以科技创新引领培育发展新质生产力，为推动高质量发展提供有力科技支撑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50D3D4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1864B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920" w:lef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1.晋江市以“企业家+科学家”融合创新机制 激发全社会创新创业活力</w:t>
      </w:r>
    </w:p>
    <w:p w14:paraId="7C0F21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搭建莆籍科技桥梁 激活创新创造动能</w:t>
      </w:r>
    </w:p>
    <w:p w14:paraId="2AA11F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1A384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95E7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中共福建省委科技委员会办公室</w:t>
      </w:r>
    </w:p>
    <w:p w14:paraId="5573E8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2026年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</w:t>
      </w:r>
    </w:p>
    <w:p w14:paraId="73E4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bookmarkEnd w:id="8"/>
    <w:p w14:paraId="7A3A1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D108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432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晋江市以“企业家+科学家”融合创新机制</w:t>
      </w:r>
    </w:p>
    <w:p w14:paraId="364B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激发全社会创新创业活力</w:t>
      </w:r>
    </w:p>
    <w:p w14:paraId="61E27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6EBD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2025年以来，晋江市大力推行“企业家+科学家”融合创新工作机制，充分激活企业家、科学家两大群体创新合力，让“懂技术”的科学家与“懂市场”的企业家双向奔赴、好资金与好技术深度融合，助推科技创新加速从“实验室”走向“生产线”。</w:t>
      </w:r>
    </w:p>
    <w:p w14:paraId="7214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一、锚定权责闭环，建强调度中枢。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一是强化中枢统筹。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4"/>
          <w:u w:val="none"/>
          <w:lang w:val="en-US" w:eastAsia="zh-CN"/>
        </w:rPr>
        <w:t>建立“1+N”调度组织架构，市委科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创办作为牵头统筹单位，充分发挥“总协调、总调度、总督办”职能作用，围绕科技创新激励措施、科企双向对接机制、科创平台提能增效等重点工作，开展调度18场次。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二是强化分级协同。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市级层面聚焦“顶层统筹”，调度解决跨部门、跨领域重大问题21个。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4"/>
          <w:u w:val="none"/>
          <w:lang w:val="en-US" w:eastAsia="zh-CN"/>
        </w:rPr>
        <w:t>部门层面聚焦“专业推进”，推进三大资源库更新、项目筛选评估与落地服务。镇域层面聚焦“属地保障”，推进辖区企业技术需求摸排与项目配套服务。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三是强化全链保障。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4"/>
          <w:u w:val="none"/>
          <w:lang w:val="en-US" w:eastAsia="zh-CN"/>
        </w:rPr>
        <w:t>全方位保障项目“筛选—匹配—投孵—落地”链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条，以“单一窗口”服务模式，推进政策、空间、融资等要素“点对点”跟踪保障，促成无氟安踏膜、同威电子等86个前沿技术及项目落地。</w:t>
      </w:r>
    </w:p>
    <w:p w14:paraId="3E1D3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二、聚焦精准对接，打通融合通道。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一是筑牢融合“基础盘”。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构建</w:t>
      </w:r>
      <w:r>
        <w:rPr>
          <w:rFonts w:hint="eastAsia" w:ascii="仿宋_GB2312" w:hAnsi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企业家资源库、科学家资源库与项目资源库等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三大资源库，</w:t>
      </w:r>
      <w:r>
        <w:rPr>
          <w:rFonts w:hint="eastAsia" w:ascii="仿宋_GB2312" w:hAnsi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已收录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602名新生代企业家、706名科学家（科技专家）及1220项技术需求和招商项目；推进线上线下一体化服务，出台项目对接陪跑服务实施方案，建立系统服务企业、深度陪跑项目的工作机制，正式发布微信小程序“晋江科创港”，以“AI智能匹配、全维度隐私保护”为核心，让企业家与科学家随时随地在线实现精准高效、安全无忧“配对”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二是打通对接“主动脉”。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“政企研”协同搭建常态联系网络，</w:t>
      </w:r>
      <w:bookmarkStart w:id="3" w:name="OfficeAI_Add_0_247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目前</w:t>
      </w:r>
      <w:bookmarkEnd w:id="3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已举办“百名青年企业家走进合肥”“科技赶集日”“创智汇”“创享汇”等活动50余场，推动新增登记技术合同217项、金额6.01亿元。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三是提速项目落地“最后一公里”。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探索“企业需求发榜、科学家揭榜领题、院校分包攻关”模式，加速产业化进程，比如清华同威电子和清华大学工程物理系共建的“高能粒子超临界材料创研中心”，联合晋江鑫煌鞋材，仅用两个月时间就研发推出长效光变产品，成功将实验室技术转化为市场“黑马”爆品。</w:t>
      </w:r>
    </w:p>
    <w:p w14:paraId="63C36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三、厚植创新生态，激活发展动能。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一是融入飞地网络。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4"/>
          <w:u w:val="none"/>
          <w:lang w:val="en-US" w:eastAsia="zh-CN"/>
        </w:rPr>
        <w:t>在外泉州籍科学家入驻人才科创飞地，通过“异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地孵化+本土产业化”的闭环，已导入科创项目26个、产业化落地项目7个，成功链接深圳、武汉、西安、合肥等跨区域创新资源。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二是嵌入中试平台。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聚合高校院所、创新平台、中试基地及科技企业等各方资源力量，推行科技成果转化“先使用后付费”模式，建成5个中试验证平台，有力降低企业研发和运营综合成本，推动新增产学研项目1021项。</w:t>
      </w:r>
      <w:r>
        <w:rPr>
          <w:rFonts w:hint="eastAsia" w:ascii="楷体_GB2312" w:hAnsi="楷体_GB2312" w:eastAsia="楷体_GB2312" w:cs="楷体_GB2312"/>
          <w:color w:val="000000"/>
          <w:spacing w:val="0"/>
          <w:kern w:val="2"/>
          <w:sz w:val="32"/>
          <w:szCs w:val="24"/>
          <w:u w:val="none"/>
          <w:lang w:val="en-US" w:eastAsia="zh-CN" w:bidi="ar-SA"/>
        </w:rPr>
        <w:t>三是注入资本活水。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  <w:t>注重“政府牵引撬动、产业基金领投、民营资本跟进”，构建包含天使投资、创业投资、产业投资基金的“1+X”产业基金矩阵，目前产业引导基金规模已超500亿元，累计投资项目287个、资金超163亿元。同时，以民营资本为主成立晋江未来新产业创业投资基金联盟，促成7个涵盖高端医疗装备、核药研发、医疗器械等领域项目集中落地泉厦金生命健康硅谷。</w:t>
      </w:r>
    </w:p>
    <w:p w14:paraId="62D66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</w:pPr>
    </w:p>
    <w:p w14:paraId="413E0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</w:pPr>
    </w:p>
    <w:p w14:paraId="0B45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</w:pPr>
    </w:p>
    <w:p w14:paraId="1840F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24"/>
          <w:u w:val="none"/>
          <w:lang w:val="en-US" w:eastAsia="zh-CN"/>
        </w:rPr>
      </w:pPr>
    </w:p>
    <w:p w14:paraId="1302E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20B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1B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搭建莆籍科技桥梁 激活创新创造动能</w:t>
      </w:r>
    </w:p>
    <w:p w14:paraId="56A03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——莆田市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设立</w:t>
      </w:r>
      <w:r>
        <w:rPr>
          <w:rFonts w:hint="eastAsia" w:ascii="楷体_GB2312" w:hAnsi="楷体_GB2312" w:eastAsia="楷体_GB2312" w:cs="楷体_GB2312"/>
          <w:sz w:val="32"/>
          <w:szCs w:val="32"/>
        </w:rPr>
        <w:t>北京莆籍科技工作者委员会</w:t>
      </w:r>
    </w:p>
    <w:p w14:paraId="1150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促进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科学家、企业家、投资家“三大家”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对接协同</w:t>
      </w:r>
    </w:p>
    <w:p w14:paraId="55DD2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E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莆田市立足“莆智回归”战略与京莆协同发展定位，以莆籍乡情为情感纽带，依托北京莆籍科技工作者委员会（以下简称“京莆科委会”），搭建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与企业家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对面沟通对接渠道，有效激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</w:rPr>
        <w:t>在京莆籍科技、资本、产业资源活力。</w:t>
      </w:r>
    </w:p>
    <w:p w14:paraId="13AF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搭建平台，夯实协同基础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在市委市政府统筹下，组织推动在京</w:t>
      </w:r>
      <w:r>
        <w:rPr>
          <w:rFonts w:hint="eastAsia" w:ascii="仿宋_GB2312" w:hAnsi="仿宋_GB2312" w:eastAsia="仿宋_GB2312" w:cs="仿宋_GB2312"/>
          <w:sz w:val="32"/>
          <w:szCs w:val="32"/>
        </w:rPr>
        <w:t>莆籍科技工作者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京莆科委会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，作为市科协的一个专委会。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京莆科委会以科研成果转化、产业转型赋能、技术咨询服务、人才引进与科技教育提升“四个服务”为宗旨，打破地域、行业、领域壁垒，下设电子信息、材料能源等9个专业委员会，覆盖电子信息、医学与药学等多个领域，汇聚清华大学、北京大学、中国航天系统科学与工程研究院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国内顶尖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院所</w:t>
      </w:r>
      <w:r>
        <w:rPr>
          <w:rFonts w:hint="eastAsia" w:ascii="仿宋_GB2312" w:hAnsi="仿宋_GB2312" w:eastAsia="仿宋_GB2312" w:cs="仿宋_GB2312"/>
          <w:sz w:val="32"/>
          <w:szCs w:val="32"/>
        </w:rPr>
        <w:t>的莆籍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精英，联动北京莆田企业商会吸纳本土及在京莆籍企业家力量，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对接投资机构、莆籍投资家资源。依托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人才智慧云平台，为京莆两地资源精准对接提供坚实的组织保障与要素支撑。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A97E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二、创新机制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，推动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直面对接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京莆科委会牵头搭建多维度、常态化协同对接机制，将分散的乡贤资源整合为有组织的协同行动。一是开展实地观摩与专题研讨，组织莆籍企业家、投资家赴软通动力等高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企业实地考察，邀请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解析AI与传统产业融合趋势、半导体设备国产化等关键议题，为企业家明晰转型方向、投资家找准投资赛道提供智力</w:t>
      </w:r>
      <w:bookmarkStart w:id="4" w:name="OfficeAI_Add_0_16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支撑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二是常态化举办产业对接会、主题沙龙与项目路演，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邀请科学家分享前沿科技动态、展示科研成果，企业家现场发布技术需求、产业痛点，投资家精准对接优质项目、提供资金支持，促成多项技术合作、项目落地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三是推动各专业委员会精准发力，材料能源、土木建筑等专委会聚焦细分领域开展跨领域探讨与行业沙龙，新闻传播、文化教育等专委会搭建信息互通桥梁，经济与法律专委会为“三大家”协同创新筑牢法律保障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4D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三、聚焦需求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，强化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精准赋能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京莆科委会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聚焦莆田市重点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发展需求，推动“三大家”协同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，以产业赋能、智力支援、资金助力为抓手，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精准对接、高效赋能，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为家乡高质量发展注入强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劲动能。在产业赋能方面，推动吴一弦教授团队</w:t>
      </w:r>
      <w:bookmarkStart w:id="5" w:name="OfficeAI_Add_0_109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高性能合成橡胶技术等优质科研成果与本地鞋服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传统企业需求精准对接，企业家承接技术成果、推动产业化应用，投资家跟进配套资金、助力技术落地，推动传统产业转型升级。在人才培育方面，联动实施人才“壶兰计划”，邀请潘坚教授等科学家开展科普讲座、助力莆籍学子成长，为协同创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培养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后备力量。在服务发展方面，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围绕市重点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升级和科技教育提升，协助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开展技术咨询与人才引进工作。</w:t>
      </w:r>
    </w:p>
    <w:p w14:paraId="06EF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四、跨界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融合，拓展协同空间。</w:t>
      </w:r>
      <w:r>
        <w:rPr>
          <w:rFonts w:hint="eastAsia" w:ascii="仿宋_GB2312" w:hAnsi="仿宋_GB2312" w:eastAsia="仿宋_GB2312" w:cs="仿宋_GB2312"/>
          <w:sz w:val="32"/>
          <w:szCs w:val="32"/>
        </w:rPr>
        <w:t>京莆科委会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京莆两地交流协作重要枢纽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创新活动形式，推动“三大家”跨界协作、深度融合，拓展协同创新空间，促进京莆两地资源互补、产业协同。通过“线上交流群+线下活动”相结合的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，实现科学家、企业家、投资家之间信息及时共享、问题高效探讨、资源精准匹配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新闻与传播专委会在晓月重工文体创新园搭建行业信息互通桥梁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文化教育专委会举办798艺术园区参访及艺术茶叙活动，推动文化艺术领域的交流传承，为“三大家”协同创新注入文化活力；联动天元律师事务所，开展科技成果转化法律实务交流，为科技创新筑牢法律保障。</w:t>
      </w:r>
    </w:p>
    <w:p w14:paraId="259A3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在莆田市引导、北京莆田企业商会主导下，京莆科委会已成为企科对接的“粘合剂”、人才集聚的“强磁场”与京莆协同的“连心桥”，持续激活莆商莆智力量，为两地科技交流、产业合作与人才培养提供有力支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成为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的重要助力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49D54B">
      <w:pPr>
        <w:snapToGrid w:val="0"/>
        <w:spacing w:line="60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-1905</wp:posOffset>
                </wp:positionH>
                <wp:positionV relativeFrom="page">
                  <wp:posOffset>9053195</wp:posOffset>
                </wp:positionV>
                <wp:extent cx="5630545" cy="39624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54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149548">
                            <w:pPr>
                              <w:ind w:firstLine="280" w:firstLineChars="100"/>
                              <w:jc w:val="left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8"/>
                              </w:rPr>
                              <w:t>中共福建省委科技委员会办公室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2026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4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日印发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bookmarkStart w:id="7" w:name="printdate"/>
                            <w:r>
                              <w:rPr>
                                <w:rFonts w:hint="eastAsia"/>
                              </w:rPr>
                              <w:t>«printdate»</w:t>
                            </w:r>
                            <w:bookmarkEnd w:id="7"/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712.85pt;height:31.2pt;width:443.35pt;mso-position-horizontal-relative:margin;mso-position-vertical-relative:page;mso-wrap-distance-bottom:0pt;mso-wrap-distance-top:0pt;z-index:251662336;mso-width-relative:page;mso-height-relative:page;" filled="f" stroked="f" coordsize="21600,21600" o:gfxdata="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DCTqr2gAAAAsBAAAPAAAAAAAAAAEAIAAAACIAAABkcnMvZG93bnJldi54bWxQ&#10;SwECFAAUAAAACACHTuJAGn9ECLwBAABy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0149548">
                      <w:pPr>
                        <w:ind w:firstLine="280" w:firstLineChars="100"/>
                        <w:jc w:val="left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sz w:val="28"/>
                          <w:szCs w:val="28"/>
                        </w:rPr>
                        <w:t>中共福建省委科技委员会办公室</w:t>
                      </w:r>
                      <w:r>
                        <w:rPr>
                          <w:rFonts w:hint="eastAsia" w:ascii="仿宋_GB2312" w:hAnsi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2026</w:t>
                      </w:r>
                      <w:r>
                        <w:rPr>
                          <w:rFonts w:hint="eastAsia" w:ascii="仿宋_GB2312" w:hAnsi="仿宋_GB2312" w:cs="仿宋_GB2312"/>
                          <w:sz w:val="28"/>
                          <w:szCs w:val="28"/>
                          <w:lang w:val="en-US" w:eastAsia="zh-CN"/>
                        </w:rPr>
                        <w:t>年</w:t>
                      </w:r>
                      <w:r>
                        <w:rPr>
                          <w:rFonts w:hint="eastAsia" w:ascii="仿宋_GB2312" w:hAnsi="仿宋_GB2312" w:cs="仿宋_GB2312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4</w:t>
                      </w:r>
                      <w:r>
                        <w:rPr>
                          <w:rFonts w:hint="eastAsia" w:ascii="仿宋_GB2312" w:hAnsi="仿宋_GB2312" w:cs="仿宋_GB2312"/>
                          <w:sz w:val="28"/>
                          <w:szCs w:val="28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="仿宋_GB2312" w:hAnsi="仿宋_GB2312" w:cs="仿宋_GB2312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cs="仿宋_GB2312"/>
                          <w:sz w:val="28"/>
                          <w:szCs w:val="28"/>
                          <w:lang w:val="en-US" w:eastAsia="zh-CN"/>
                        </w:rPr>
                        <w:t>日印发</w:t>
                      </w:r>
                      <w:r>
                        <w:rPr>
                          <w:rFonts w:hint="eastAsia" w:ascii="仿宋_GB2312" w:hAnsi="仿宋_GB2312" w:cs="仿宋_GB2312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bookmarkStart w:id="7" w:name="printdate"/>
                      <w:r>
                        <w:rPr>
                          <w:rFonts w:hint="eastAsia"/>
                        </w:rPr>
                        <w:t>«printdate»</w:t>
                      </w:r>
                      <w:bookmarkEnd w:id="7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9420860</wp:posOffset>
                </wp:positionV>
                <wp:extent cx="5610225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741.8pt;height:0pt;width:441.75pt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38nj9gAAAALAQAADwAAAAAAAAABACAAAAAiAAAAZHJzL2Rvd25yZXYueG1sUEsB&#10;AhQAFAAAAAgAh07iQMCx67r1AQAA5QMAAA4AAAAAAAAAAQAgAAAAJ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21C57509"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pict>
          <v:shape id="_x0000_s1026" o:spid="_x0000_s1026" o:spt="75" alt="http://portal.fj.cegn.cn:8081/lw-zwbg-cloud//core/upload/2026/04/02/20260402035814864.bmp" type="#_x0000_t75" style="position:absolute;left:0pt;margin-left:293.65pt;margin-top:643.85pt;height:36pt;width:145pt;mso-position-horizontal-relative:margin;mso-position-vertical-relative:margin;z-index:251665408;mso-width-relative:page;mso-height-relative:page;" filled="f" o:preferrelative="t" stroked="f" coordsize="21600,21600">
            <v:path/>
            <v:fill on="f" focussize="0,0"/>
            <v:stroke on="f"/>
            <v:imagedata r:id="rId10" r:href="rId11" o:title=""/>
            <o:lock v:ext="edit" aspectratio="f"/>
          </v:shape>
        </w:pic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9017000</wp:posOffset>
                </wp:positionV>
                <wp:extent cx="5617845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710pt;height:0pt;width:442.35pt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uqbt1gAAAAsBAAAPAAAAAAAAAAEAIAAAACIAAABkcnMvZG93bnJldi54bWxQSwEC&#10;FAAUAAAACACHTuJACxe0UPYBAADlAwAADgAAAAAAAAABACAAAAAl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531" w:left="1531" w:header="851" w:footer="1077" w:gutter="0"/>
      <w:pgNumType w:fmt="decimal"/>
      <w:cols w:space="425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9339">
    <w:pPr>
      <w:pStyle w:val="3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69618">
                          <w:pPr>
                            <w:pStyle w:val="3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69618">
                    <w:pPr>
                      <w:pStyle w:val="3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77E69">
    <w:pPr>
      <w:pStyle w:val="3"/>
      <w:rPr>
        <w:rFonts w:hint="eastAsia"/>
        <w:sz w:val="28"/>
      </w:rPr>
    </w:pPr>
    <w:r>
      <w:rPr>
        <w:rFonts w:hint="eastAsia"/>
        <w:sz w:val="28"/>
      </w:rPr>
      <w:t xml:space="preserve">— 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2</w:t>
    </w:r>
    <w:r>
      <w:rPr>
        <w:rStyle w:val="7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467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F4E4D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F4E4D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219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A6F59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60B1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C7152"/>
    <w:rsid w:val="0153673B"/>
    <w:rsid w:val="0506494D"/>
    <w:rsid w:val="05F16EC0"/>
    <w:rsid w:val="080253C1"/>
    <w:rsid w:val="0C647D62"/>
    <w:rsid w:val="0FF32965"/>
    <w:rsid w:val="10825D9E"/>
    <w:rsid w:val="128C3D0D"/>
    <w:rsid w:val="13A405A1"/>
    <w:rsid w:val="15FF2A2D"/>
    <w:rsid w:val="17FB2FB8"/>
    <w:rsid w:val="19B928C2"/>
    <w:rsid w:val="226C7152"/>
    <w:rsid w:val="22E948D4"/>
    <w:rsid w:val="231F310B"/>
    <w:rsid w:val="238C0BD7"/>
    <w:rsid w:val="26FB585E"/>
    <w:rsid w:val="26FC6002"/>
    <w:rsid w:val="2D532D00"/>
    <w:rsid w:val="2EB3664A"/>
    <w:rsid w:val="2EEF2F30"/>
    <w:rsid w:val="31EB1674"/>
    <w:rsid w:val="33854B73"/>
    <w:rsid w:val="3FED6871"/>
    <w:rsid w:val="43180226"/>
    <w:rsid w:val="47AD4061"/>
    <w:rsid w:val="491D1B81"/>
    <w:rsid w:val="494A171E"/>
    <w:rsid w:val="4D6B1645"/>
    <w:rsid w:val="4D7C5D9E"/>
    <w:rsid w:val="4F080938"/>
    <w:rsid w:val="4F1C8AF3"/>
    <w:rsid w:val="59271600"/>
    <w:rsid w:val="59FB1403"/>
    <w:rsid w:val="5C5A549E"/>
    <w:rsid w:val="5C73E28A"/>
    <w:rsid w:val="5CC60834"/>
    <w:rsid w:val="5D2903DC"/>
    <w:rsid w:val="5E8A4FD5"/>
    <w:rsid w:val="5EFFF5C1"/>
    <w:rsid w:val="5F1D429B"/>
    <w:rsid w:val="65640A91"/>
    <w:rsid w:val="71B33DA4"/>
    <w:rsid w:val="71DA3329"/>
    <w:rsid w:val="757F2F46"/>
    <w:rsid w:val="77396BAF"/>
    <w:rsid w:val="79B5329B"/>
    <w:rsid w:val="7E6F9DC4"/>
    <w:rsid w:val="7FD10D5B"/>
    <w:rsid w:val="7F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http://portal.fj.cegn.cn:8081/lw-zwbg-cloud//core/upload/2026/04/02/20260402035814864.bmp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1900</Words>
  <Characters>1930</Characters>
  <Lines>0</Lines>
  <Paragraphs>0</Paragraphs>
  <TotalTime>7</TotalTime>
  <ScaleCrop>false</ScaleCrop>
  <LinksUpToDate>false</LinksUpToDate>
  <CharactersWithSpaces>1976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2020-12-23T15:23:00Z</dcterms:created>
  <dc:creator>福建省科技厅</dc:creator>
  <cp:lastModifiedBy>zz洲</cp:lastModifiedBy>
  <cp:lastPrinted>2026-04-02T16:01:00Z</cp:lastPrinted>
  <dcterms:modified xsi:type="dcterms:W3CDTF">2026-04-20T07:29:14Z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0DA3643488EA42F6A3D0D55D466D95CE_13</vt:lpwstr>
  </property>
  <property fmtid="{D5CDD505-2E9C-101B-9397-08002B2CF9AE}" pid="4" name="KSOTemplateDocerSaveRecord">
    <vt:lpwstr>eyJoZGlkIjoiOTBlYWY3ZDc0ZGU0Yjk1NDI1MjFiMzIzYmExMDQ1OTEiLCJ1c2VySWQiOiI4ODM2MjA3NTMifQ==</vt:lpwstr>
  </property>
</Properties>
</file>