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E94229">
      <w:pPr>
        <w:snapToGrid w:val="0"/>
        <w:spacing w:line="600" w:lineRule="exact"/>
        <w:ind w:right="160"/>
        <w:jc w:val="right"/>
        <w:rPr>
          <w:rFonts w:ascii="黑体" w:eastAsia="黑体"/>
          <w:b/>
          <w:szCs w:val="32"/>
        </w:rPr>
      </w:pPr>
    </w:p>
    <w:p w14:paraId="57020C31">
      <w:pPr>
        <w:snapToGrid w:val="0"/>
        <w:spacing w:line="600" w:lineRule="exact"/>
        <w:ind w:right="160"/>
        <w:jc w:val="right"/>
        <w:rPr>
          <w:rFonts w:ascii="黑体" w:eastAsia="黑体"/>
          <w:b/>
          <w:szCs w:val="32"/>
          <w:lang w:val="en"/>
        </w:rPr>
      </w:pPr>
      <w:bookmarkStart w:id="6" w:name="_GoBack"/>
      <w:bookmarkEnd w:id="6"/>
    </w:p>
    <w:p w14:paraId="478F3FB0">
      <w:pPr>
        <w:snapToGrid w:val="0"/>
        <w:spacing w:line="600" w:lineRule="exact"/>
        <w:ind w:right="160"/>
        <w:jc w:val="right"/>
        <w:rPr>
          <w:rFonts w:ascii="黑体" w:eastAsia="黑体"/>
          <w:b/>
          <w:szCs w:val="32"/>
        </w:rPr>
      </w:pPr>
      <w:r>
        <w:rPr>
          <w:rFonts w:hint="eastAsia" w:ascii="黑体" w:eastAsia="黑体"/>
          <w:b/>
          <w:szCs w:val="32"/>
        </w:rPr>
        <w:t xml:space="preserve">                                             </w:t>
      </w:r>
    </w:p>
    <w:p w14:paraId="63445ABA">
      <w:pPr>
        <w:snapToGrid w:val="0"/>
        <w:spacing w:line="1000" w:lineRule="exact"/>
        <w:ind w:right="159"/>
        <w:jc w:val="left"/>
        <w:rPr>
          <w:rFonts w:hint="eastAsia" w:ascii="方正小标宋简体" w:hAnsi="方正小标宋简体" w:eastAsia="方正小标宋简体" w:cs="方正小标宋简体"/>
          <w:b/>
          <w:color w:val="FF0000"/>
          <w:sz w:val="84"/>
          <w:szCs w:val="84"/>
          <w:lang w:eastAsia="zh-CN"/>
        </w:rPr>
      </w:pPr>
      <w:bookmarkStart w:id="0" w:name="RedHead"/>
      <w:r>
        <w:rPr>
          <w:sz w:val="84"/>
        </w:rPr>
        <mc:AlternateContent>
          <mc:Choice Requires="wps">
            <w:drawing>
              <wp:anchor distT="0" distB="0" distL="114300" distR="114300" simplePos="0" relativeHeight="251666432" behindDoc="0" locked="0" layoutInCell="1" allowOverlap="1">
                <wp:simplePos x="0" y="0"/>
                <wp:positionH relativeFrom="column">
                  <wp:posOffset>4432300</wp:posOffset>
                </wp:positionH>
                <wp:positionV relativeFrom="paragraph">
                  <wp:posOffset>347980</wp:posOffset>
                </wp:positionV>
                <wp:extent cx="1428115" cy="984250"/>
                <wp:effectExtent l="9525" t="9525" r="10160" b="15875"/>
                <wp:wrapNone/>
                <wp:docPr id="5" name="文本框 5"/>
                <wp:cNvGraphicFramePr/>
                <a:graphic xmlns:a="http://schemas.openxmlformats.org/drawingml/2006/main">
                  <a:graphicData uri="http://schemas.microsoft.com/office/word/2010/wordprocessingShape">
                    <wps:wsp>
                      <wps:cNvSpPr txBox="1"/>
                      <wps:spPr>
                        <a:xfrm>
                          <a:off x="0" y="0"/>
                          <a:ext cx="1428115" cy="984250"/>
                        </a:xfrm>
                        <a:prstGeom prst="rect">
                          <a:avLst/>
                        </a:prstGeom>
                        <a:solidFill>
                          <a:srgbClr val="FFFFFF"/>
                        </a:solidFill>
                        <a:ln w="19050" cap="flat" cmpd="sng">
                          <a:solidFill>
                            <a:srgbClr val="FFFFFF"/>
                          </a:solidFill>
                          <a:prstDash val="solid"/>
                          <a:miter/>
                          <a:headEnd type="none" w="med" len="med"/>
                          <a:tailEnd type="none" w="med" len="med"/>
                        </a:ln>
                        <a:effectLst/>
                      </wps:spPr>
                      <wps:txbx>
                        <w:txbxContent>
                          <w:p w14:paraId="6A5C2F96">
                            <w:pPr>
                              <w:snapToGrid w:val="0"/>
                              <w:spacing w:line="1000" w:lineRule="exact"/>
                              <w:ind w:right="159"/>
                              <w:jc w:val="left"/>
                              <w:rPr>
                                <w:rFonts w:hint="eastAsia" w:ascii="方正小标宋简体" w:hAnsi="方正小标宋简体" w:eastAsia="方正小标宋简体" w:cs="方正小标宋简体"/>
                                <w:b/>
                                <w:color w:val="FF0000"/>
                                <w:sz w:val="84"/>
                                <w:szCs w:val="84"/>
                                <w:lang w:eastAsia="zh-CN"/>
                              </w:rPr>
                            </w:pPr>
                            <w:r>
                              <w:rPr>
                                <w:rFonts w:hint="eastAsia" w:ascii="方正小标宋简体" w:hAnsi="方正小标宋简体" w:eastAsia="方正小标宋简体" w:cs="方正小标宋简体"/>
                                <w:b/>
                                <w:color w:val="FF0000"/>
                                <w:sz w:val="84"/>
                                <w:szCs w:val="84"/>
                                <w:lang w:eastAsia="zh-CN"/>
                              </w:rPr>
                              <w:t>文件</w:t>
                            </w:r>
                          </w:p>
                        </w:txbxContent>
                      </wps:txbx>
                      <wps:bodyPr upright="1"/>
                    </wps:wsp>
                  </a:graphicData>
                </a:graphic>
              </wp:anchor>
            </w:drawing>
          </mc:Choice>
          <mc:Fallback>
            <w:pict>
              <v:shape id="_x0000_s1026" o:spid="_x0000_s1026" o:spt="202" type="#_x0000_t202" style="position:absolute;left:0pt;margin-left:349pt;margin-top:27.4pt;height:77.5pt;width:112.45pt;z-index:251666432;mso-width-relative:page;mso-height-relative:page;" fillcolor="#FFFFFF" filled="t" stroked="t" coordsize="21600,21600" o:gfxdata="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AtXuep1wAAAAoBAAAPAAAAAAAAAAEAIAAA&#10;ACIAAABkcnMvZG93bnJldi54bWxQSwECFAAUAAAACACHTuJAXLKUYQ0CAABFBAAADgAAAAAAAAAB&#10;ACAAAAAmAQAAZHJzL2Uyb0RvYy54bWxQSwUGAAAAAAYABgBZAQAApQUAAAAA&#10;">
                <v:fill on="t" focussize="0,0"/>
                <v:stroke weight="1.5pt" color="#FFFFFF" joinstyle="miter"/>
                <v:imagedata o:title=""/>
                <o:lock v:ext="edit" aspectratio="f"/>
                <v:textbox>
                  <w:txbxContent>
                    <w:p w14:paraId="6A5C2F96">
                      <w:pPr>
                        <w:snapToGrid w:val="0"/>
                        <w:spacing w:line="1000" w:lineRule="exact"/>
                        <w:ind w:right="159"/>
                        <w:jc w:val="left"/>
                        <w:rPr>
                          <w:rFonts w:hint="eastAsia" w:ascii="方正小标宋简体" w:hAnsi="方正小标宋简体" w:eastAsia="方正小标宋简体" w:cs="方正小标宋简体"/>
                          <w:b/>
                          <w:color w:val="FF0000"/>
                          <w:sz w:val="84"/>
                          <w:szCs w:val="84"/>
                          <w:lang w:eastAsia="zh-CN"/>
                        </w:rPr>
                      </w:pPr>
                      <w:r>
                        <w:rPr>
                          <w:rFonts w:hint="eastAsia" w:ascii="方正小标宋简体" w:hAnsi="方正小标宋简体" w:eastAsia="方正小标宋简体" w:cs="方正小标宋简体"/>
                          <w:b/>
                          <w:color w:val="FF0000"/>
                          <w:sz w:val="84"/>
                          <w:szCs w:val="84"/>
                          <w:lang w:eastAsia="zh-CN"/>
                        </w:rPr>
                        <w:t>文件</w:t>
                      </w:r>
                    </w:p>
                  </w:txbxContent>
                </v:textbox>
              </v:shape>
            </w:pict>
          </mc:Fallback>
        </mc:AlternateContent>
      </w:r>
      <w:r>
        <w:rPr>
          <w:rFonts w:hint="eastAsia" w:ascii="方正小标宋简体" w:hAnsi="方正小标宋简体" w:eastAsia="方正小标宋简体" w:cs="方正小标宋简体"/>
          <w:b/>
          <w:color w:val="FF0000"/>
          <w:sz w:val="84"/>
          <w:szCs w:val="84"/>
          <w:lang w:eastAsia="zh-CN"/>
        </w:rPr>
        <w:t>福建省科学技术厅</w:t>
      </w:r>
    </w:p>
    <w:p w14:paraId="1CD717E9">
      <w:pPr>
        <w:snapToGrid w:val="0"/>
        <w:spacing w:line="1100" w:lineRule="exact"/>
        <w:ind w:right="159"/>
        <w:jc w:val="left"/>
        <w:rPr>
          <w:rFonts w:hint="eastAsia" w:ascii="黑体" w:eastAsia="黑体"/>
          <w:b/>
          <w:color w:val="FF0000"/>
          <w:sz w:val="84"/>
          <w:szCs w:val="84"/>
          <w:lang w:eastAsia="zh-CN"/>
        </w:rPr>
      </w:pPr>
      <w:r>
        <w:rPr>
          <w:rFonts w:hint="eastAsia" w:ascii="方正小标宋简体" w:hAnsi="方正小标宋简体" w:eastAsia="方正小标宋简体" w:cs="方正小标宋简体"/>
          <w:b/>
          <w:color w:val="FF0000"/>
          <w:spacing w:val="164"/>
          <w:sz w:val="84"/>
          <w:szCs w:val="84"/>
          <w:lang w:eastAsia="zh-CN"/>
        </w:rPr>
        <w:t>福建省教育</w:t>
      </w:r>
      <w:r>
        <w:rPr>
          <w:rFonts w:hint="eastAsia" w:ascii="方正小标宋简体" w:hAnsi="方正小标宋简体" w:eastAsia="方正小标宋简体" w:cs="方正小标宋简体"/>
          <w:b/>
          <w:color w:val="FF0000"/>
          <w:sz w:val="84"/>
          <w:szCs w:val="84"/>
          <w:lang w:eastAsia="zh-CN"/>
        </w:rPr>
        <w:t>厅</w:t>
      </w:r>
    </w:p>
    <w:bookmarkEnd w:id="0"/>
    <w:p w14:paraId="112B1A4A">
      <w:pPr>
        <w:snapToGrid w:val="0"/>
        <w:spacing w:line="600" w:lineRule="exact"/>
        <w:ind w:right="1440"/>
        <w:rPr>
          <w:rFonts w:ascii="黑体" w:eastAsia="黑体"/>
          <w:b/>
          <w:szCs w:val="32"/>
        </w:rPr>
      </w:pPr>
      <w:r>
        <w:rPr>
          <w:rFonts w:hint="eastAsia" w:ascii="黑体" w:eastAsia="黑体"/>
          <w:b/>
          <w:szCs w:val="32"/>
        </w:rPr>
        <w:t xml:space="preserve">        </w:t>
      </w:r>
    </w:p>
    <w:p w14:paraId="3A1918C3">
      <w:pPr>
        <w:snapToGrid w:val="0"/>
        <w:spacing w:line="600" w:lineRule="exact"/>
        <w:ind w:right="1440"/>
        <w:rPr>
          <w:rFonts w:ascii="黑体" w:eastAsia="黑体"/>
          <w:b/>
          <w:szCs w:val="32"/>
        </w:rPr>
      </w:pPr>
      <w:r>
        <w:rPr>
          <w:rFonts w:hint="eastAsia" w:ascii="黑体" w:eastAsia="黑体"/>
          <w:b/>
          <w:szCs w:val="32"/>
        </w:rPr>
        <mc:AlternateContent>
          <mc:Choice Requires="wps">
            <w:drawing>
              <wp:anchor distT="0" distB="0" distL="114300" distR="114300" simplePos="0" relativeHeight="251662336" behindDoc="0" locked="0" layoutInCell="1" allowOverlap="1">
                <wp:simplePos x="0" y="0"/>
                <wp:positionH relativeFrom="column">
                  <wp:posOffset>1642745</wp:posOffset>
                </wp:positionH>
                <wp:positionV relativeFrom="paragraph">
                  <wp:posOffset>83185</wp:posOffset>
                </wp:positionV>
                <wp:extent cx="1907540" cy="382270"/>
                <wp:effectExtent l="0" t="0" r="0" b="0"/>
                <wp:wrapNone/>
                <wp:docPr id="6" name="文本框 77"/>
                <wp:cNvGraphicFramePr/>
                <a:graphic xmlns:a="http://schemas.openxmlformats.org/drawingml/2006/main">
                  <a:graphicData uri="http://schemas.microsoft.com/office/word/2010/wordprocessingShape">
                    <wps:wsp>
                      <wps:cNvSpPr txBox="1"/>
                      <wps:spPr>
                        <a:xfrm>
                          <a:off x="0" y="0"/>
                          <a:ext cx="1907540" cy="382270"/>
                        </a:xfrm>
                        <a:prstGeom prst="rect">
                          <a:avLst/>
                        </a:prstGeom>
                        <a:noFill/>
                        <a:ln>
                          <a:noFill/>
                        </a:ln>
                      </wps:spPr>
                      <wps:txbx>
                        <w:txbxContent>
                          <w:p w14:paraId="157E16DC">
                            <w:pPr>
                              <w:keepNext w:val="0"/>
                              <w:keepLines w:val="0"/>
                              <w:widowControl/>
                              <w:suppressLineNumbers w:val="0"/>
                              <w:jc w:val="left"/>
                            </w:pPr>
                            <w:bookmarkStart w:id="4" w:name="dispatchnumber"/>
                            <w:r>
                              <w:rPr>
                                <w:rFonts w:hint="eastAsia" w:ascii="仿宋" w:hAnsi="仿宋" w:eastAsia="仿宋" w:cs="仿宋"/>
                                <w:color w:val="000000"/>
                                <w:kern w:val="0"/>
                                <w:szCs w:val="32"/>
                                <w:lang w:bidi="ar"/>
                              </w:rPr>
                              <w:t xml:space="preserve"> </w:t>
                            </w:r>
                            <w:r>
                              <w:rPr>
                                <w:rFonts w:hint="eastAsia" w:ascii="方正仿宋_GBK" w:hAnsi="方正仿宋_GBK" w:eastAsia="方正仿宋_GBK" w:cs="方正仿宋_GBK"/>
                                <w:i w:val="0"/>
                                <w:caps w:val="0"/>
                                <w:color w:val="000000"/>
                                <w:spacing w:val="0"/>
                                <w:kern w:val="0"/>
                                <w:sz w:val="32"/>
                                <w:szCs w:val="32"/>
                                <w:lang w:val="en-US" w:eastAsia="zh-CN" w:bidi="ar"/>
                              </w:rPr>
                              <w:t>闽科农〔2026〕2号</w:t>
                            </w:r>
                          </w:p>
                          <w:p w14:paraId="4A767EFC">
                            <w:pPr>
                              <w:widowControl/>
                              <w:jc w:val="left"/>
                              <w:rPr>
                                <w:rFonts w:ascii="仿宋" w:hAnsi="仿宋" w:eastAsia="仿宋" w:cs="仿宋"/>
                                <w:color w:val="000000"/>
                                <w:kern w:val="0"/>
                                <w:szCs w:val="32"/>
                                <w:lang w:bidi="ar"/>
                              </w:rPr>
                            </w:pPr>
                          </w:p>
                          <w:p w14:paraId="33EE132C">
                            <w:pPr>
                              <w:widowControl/>
                              <w:ind w:firstLine="480" w:firstLineChars="150"/>
                              <w:jc w:val="left"/>
                              <w:rPr>
                                <w:rFonts w:ascii="仿宋" w:hAnsi="仿宋" w:eastAsia="仿宋" w:cs="仿宋"/>
                                <w:color w:val="000000"/>
                                <w:kern w:val="0"/>
                                <w:szCs w:val="32"/>
                                <w:lang w:bidi="ar"/>
                              </w:rPr>
                            </w:pPr>
                          </w:p>
                          <w:p w14:paraId="78D5118B">
                            <w:pPr>
                              <w:widowControl/>
                              <w:ind w:firstLine="480" w:firstLineChars="150"/>
                              <w:jc w:val="left"/>
                              <w:rPr>
                                <w:rFonts w:ascii="仿宋" w:hAnsi="仿宋" w:eastAsia="仿宋" w:cs="仿宋"/>
                                <w:color w:val="000000"/>
                                <w:kern w:val="0"/>
                                <w:szCs w:val="32"/>
                                <w:lang w:bidi="ar"/>
                              </w:rPr>
                            </w:pPr>
                          </w:p>
                          <w:bookmarkEnd w:id="4"/>
                          <w:p w14:paraId="1C78083C">
                            <w:pPr>
                              <w:jc w:val="center"/>
                            </w:pPr>
                          </w:p>
                        </w:txbxContent>
                      </wps:txbx>
                      <wps:bodyPr vert="horz" wrap="square" lIns="0" tIns="45720" rIns="0" bIns="45720" anchor="t" anchorCtr="0" upright="1"/>
                    </wps:wsp>
                  </a:graphicData>
                </a:graphic>
              </wp:anchor>
            </w:drawing>
          </mc:Choice>
          <mc:Fallback>
            <w:pict>
              <v:shape id="文本框 77" o:spid="_x0000_s1026" o:spt="202" type="#_x0000_t202" style="position:absolute;left:0pt;margin-left:129.35pt;margin-top:6.55pt;height:30.1pt;width:150.2pt;z-index:251662336;mso-width-relative:page;mso-height-relative:page;" filled="f" stroked="f" coordsize="21600,21600" o:gfxdata="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CFSQI/2QAAAAkB&#10;AAAPAAAAAAAAAAEAIAAAACIAAABkcnMvZG93bnJldi54bWxQSwECFAAUAAAACACHTuJAbYjzEuEB&#10;AACuAwAADgAAAAAAAAABACAAAAAoAQAAZHJzL2Uyb0RvYy54bWxQSwUGAAAAAAYABgBZAQAAewUA&#10;AAAA&#10;">
                <v:fill on="f" focussize="0,0"/>
                <v:stroke on="f"/>
                <v:imagedata o:title=""/>
                <o:lock v:ext="edit" aspectratio="f"/>
                <v:textbox inset="0mm,1.27mm,0mm,1.27mm">
                  <w:txbxContent>
                    <w:p w14:paraId="157E16DC">
                      <w:pPr>
                        <w:keepNext w:val="0"/>
                        <w:keepLines w:val="0"/>
                        <w:widowControl/>
                        <w:suppressLineNumbers w:val="0"/>
                        <w:jc w:val="left"/>
                      </w:pPr>
                      <w:bookmarkStart w:id="4" w:name="dispatchnumber"/>
                      <w:r>
                        <w:rPr>
                          <w:rFonts w:hint="eastAsia" w:ascii="仿宋" w:hAnsi="仿宋" w:eastAsia="仿宋" w:cs="仿宋"/>
                          <w:color w:val="000000"/>
                          <w:kern w:val="0"/>
                          <w:szCs w:val="32"/>
                          <w:lang w:bidi="ar"/>
                        </w:rPr>
                        <w:t xml:space="preserve"> </w:t>
                      </w:r>
                      <w:r>
                        <w:rPr>
                          <w:rFonts w:hint="eastAsia" w:ascii="方正仿宋_GBK" w:hAnsi="方正仿宋_GBK" w:eastAsia="方正仿宋_GBK" w:cs="方正仿宋_GBK"/>
                          <w:i w:val="0"/>
                          <w:caps w:val="0"/>
                          <w:color w:val="000000"/>
                          <w:spacing w:val="0"/>
                          <w:kern w:val="0"/>
                          <w:sz w:val="32"/>
                          <w:szCs w:val="32"/>
                          <w:lang w:val="en-US" w:eastAsia="zh-CN" w:bidi="ar"/>
                        </w:rPr>
                        <w:t>闽科农〔2026〕2号</w:t>
                      </w:r>
                    </w:p>
                    <w:p w14:paraId="4A767EFC">
                      <w:pPr>
                        <w:widowControl/>
                        <w:jc w:val="left"/>
                        <w:rPr>
                          <w:rFonts w:ascii="仿宋" w:hAnsi="仿宋" w:eastAsia="仿宋" w:cs="仿宋"/>
                          <w:color w:val="000000"/>
                          <w:kern w:val="0"/>
                          <w:szCs w:val="32"/>
                          <w:lang w:bidi="ar"/>
                        </w:rPr>
                      </w:pPr>
                    </w:p>
                    <w:p w14:paraId="33EE132C">
                      <w:pPr>
                        <w:widowControl/>
                        <w:ind w:firstLine="480" w:firstLineChars="150"/>
                        <w:jc w:val="left"/>
                        <w:rPr>
                          <w:rFonts w:ascii="仿宋" w:hAnsi="仿宋" w:eastAsia="仿宋" w:cs="仿宋"/>
                          <w:color w:val="000000"/>
                          <w:kern w:val="0"/>
                          <w:szCs w:val="32"/>
                          <w:lang w:bidi="ar"/>
                        </w:rPr>
                      </w:pPr>
                    </w:p>
                    <w:p w14:paraId="78D5118B">
                      <w:pPr>
                        <w:widowControl/>
                        <w:ind w:firstLine="480" w:firstLineChars="150"/>
                        <w:jc w:val="left"/>
                        <w:rPr>
                          <w:rFonts w:ascii="仿宋" w:hAnsi="仿宋" w:eastAsia="仿宋" w:cs="仿宋"/>
                          <w:color w:val="000000"/>
                          <w:kern w:val="0"/>
                          <w:szCs w:val="32"/>
                          <w:lang w:bidi="ar"/>
                        </w:rPr>
                      </w:pPr>
                    </w:p>
                    <w:bookmarkEnd w:id="4"/>
                    <w:p w14:paraId="1C78083C">
                      <w:pPr>
                        <w:jc w:val="center"/>
                      </w:pPr>
                    </w:p>
                  </w:txbxContent>
                </v:textbox>
              </v:shape>
            </w:pict>
          </mc:Fallback>
        </mc:AlternateContent>
      </w:r>
      <w:r>
        <w:rPr>
          <w:rFonts w:hint="eastAsia" w:ascii="黑体" w:eastAsia="黑体"/>
          <w:b/>
          <w:szCs w:val="32"/>
        </w:rPr>
        <w:t xml:space="preserve">                                                     </w:t>
      </w:r>
    </w:p>
    <w:p w14:paraId="0E33ABE3">
      <w:pPr>
        <w:snapToGrid w:val="0"/>
        <w:spacing w:line="580" w:lineRule="exact"/>
        <w:ind w:right="1440"/>
        <w:rPr>
          <w:rFonts w:ascii="黑体" w:eastAsia="黑体"/>
          <w:b/>
          <w:szCs w:val="32"/>
        </w:rPr>
      </w:pPr>
      <w:r>
        <w:rPr>
          <w:rFonts w:hint="eastAsia" w:ascii="黑体" w:eastAsia="黑体"/>
          <w:b/>
          <w:szCs w:val="32"/>
        </w:rPr>
        <mc:AlternateContent>
          <mc:Choice Requires="wps">
            <w:drawing>
              <wp:anchor distT="0" distB="0" distL="114300" distR="114300" simplePos="0" relativeHeight="251663360" behindDoc="0" locked="0" layoutInCell="1" allowOverlap="1">
                <wp:simplePos x="0" y="0"/>
                <wp:positionH relativeFrom="column">
                  <wp:posOffset>-120015</wp:posOffset>
                </wp:positionH>
                <wp:positionV relativeFrom="paragraph">
                  <wp:posOffset>215265</wp:posOffset>
                </wp:positionV>
                <wp:extent cx="5608320" cy="13335"/>
                <wp:effectExtent l="0" t="0" r="0" b="0"/>
                <wp:wrapNone/>
                <wp:docPr id="7" name="直线 78"/>
                <wp:cNvGraphicFramePr/>
                <a:graphic xmlns:a="http://schemas.openxmlformats.org/drawingml/2006/main">
                  <a:graphicData uri="http://schemas.microsoft.com/office/word/2010/wordprocessingShape">
                    <wps:wsp>
                      <wps:cNvCnPr/>
                      <wps:spPr>
                        <a:xfrm flipV="1">
                          <a:off x="0" y="0"/>
                          <a:ext cx="5608320" cy="13335"/>
                        </a:xfrm>
                        <a:prstGeom prst="line">
                          <a:avLst/>
                        </a:prstGeom>
                        <a:ln w="28575" cap="flat" cmpd="sng">
                          <a:solidFill>
                            <a:srgbClr val="FF0000"/>
                          </a:solidFill>
                          <a:prstDash val="solid"/>
                          <a:headEnd type="none" w="med" len="med"/>
                          <a:tailEnd type="none" w="med" len="med"/>
                        </a:ln>
                      </wps:spPr>
                      <wps:bodyPr/>
                    </wps:wsp>
                  </a:graphicData>
                </a:graphic>
              </wp:anchor>
            </w:drawing>
          </mc:Choice>
          <mc:Fallback>
            <w:pict>
              <v:line id="直线 78" o:spid="_x0000_s1026" o:spt="20" style="position:absolute;left:0pt;flip:y;margin-left:-9.45pt;margin-top:16.95pt;height:1.05pt;width:441.6pt;z-index:251663360;mso-width-relative:page;mso-height-relative:page;" filled="f" stroked="t" coordsize="21600,21600" o:gfxdata="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OVsXmfbAAAACQEAAA8AAAAAAAAAAQAgAAAAIgAAAGRycy9kb3ducmV2LnhtbFBLAQIUABQA&#10;AAAIAIdO4kAmE18K7QEAAN8DAAAOAAAAAAAAAAEAIAAAACoBAABkcnMvZTJvRG9jLnhtbFBLBQYA&#10;AAAABgAGAFkBAACJBQAAAAA=&#10;">
                <v:fill on="f" focussize="0,0"/>
                <v:stroke weight="2.25pt" color="#FF0000" joinstyle="round"/>
                <v:imagedata o:title=""/>
                <o:lock v:ext="edit" aspectratio="f"/>
              </v:line>
            </w:pict>
          </mc:Fallback>
        </mc:AlternateContent>
      </w:r>
      <w:r>
        <w:rPr>
          <w:rFonts w:hint="eastAsia" w:ascii="黑体" w:eastAsia="黑体"/>
          <w:b/>
          <w:szCs w:val="32"/>
        </w:rPr>
        <w:t xml:space="preserve">                                        </w:t>
      </w:r>
    </w:p>
    <w:p w14:paraId="2E164402">
      <w:pPr>
        <w:snapToGrid w:val="0"/>
        <w:spacing w:line="400" w:lineRule="exact"/>
        <w:ind w:right="1440"/>
        <w:rPr>
          <w:rFonts w:ascii="黑体" w:eastAsia="黑体"/>
          <w:b/>
          <w:szCs w:val="32"/>
        </w:rPr>
      </w:pPr>
      <w:r>
        <w:rPr>
          <w:rFonts w:hint="eastAsia" w:ascii="黑体" w:eastAsia="黑体"/>
          <w:b/>
          <w:szCs w:val="32"/>
        </w:rPr>
        <w:t xml:space="preserve">    </w:t>
      </w:r>
    </w:p>
    <w:p w14:paraId="19BB4E74">
      <w:pPr>
        <w:snapToGrid w:val="0"/>
        <w:spacing w:line="580" w:lineRule="exact"/>
        <w:jc w:val="center"/>
        <w:rPr>
          <w:rFonts w:ascii="方正小标宋_GBK" w:hAnsi="方正小标宋_GBK" w:eastAsia="方正小标宋_GBK" w:cs="方正小标宋_GBK"/>
          <w:bCs/>
          <w:sz w:val="44"/>
          <w:szCs w:val="44"/>
        </w:rPr>
      </w:pPr>
      <w:bookmarkStart w:id="1" w:name="dispatchname"/>
      <w:r>
        <w:rPr>
          <w:rFonts w:hint="eastAsia" w:ascii="方正小标宋简体" w:hAnsi="方正小标宋简体" w:eastAsia="方正小标宋简体" w:cs="方正小标宋简体"/>
          <w:bCs/>
          <w:sz w:val="44"/>
          <w:szCs w:val="44"/>
          <w:lang w:eastAsia="zh-CN"/>
        </w:rPr>
        <w:t>福建省科学技术厅 福建省教育厅印发《关于组建海洋经济产业智库的工作方案》的通知</w:t>
      </w:r>
      <w:bookmarkEnd w:id="1"/>
      <w:r>
        <w:rPr>
          <w:rFonts w:hint="eastAsia" w:ascii="方正小标宋_GBK" w:hAnsi="方正小标宋_GBK" w:eastAsia="方正小标宋_GBK" w:cs="方正小标宋_GBK"/>
          <w:bCs/>
          <w:sz w:val="44"/>
          <w:szCs w:val="44"/>
        </w:rPr>
        <w:t xml:space="preserve">                                    </w:t>
      </w:r>
    </w:p>
    <w:p w14:paraId="61CEB94A">
      <w:pPr>
        <w:rPr>
          <w:rFonts w:hint="eastAsia" w:ascii="仿宋" w:hAnsi="仿宋" w:eastAsia="仿宋" w:cs="仿宋"/>
          <w:szCs w:val="32"/>
          <w:lang w:eastAsia="zh-CN"/>
        </w:rPr>
      </w:pPr>
      <w:bookmarkStart w:id="2" w:name="maindelivery"/>
    </w:p>
    <w:p w14:paraId="1F07B61B">
      <w:pPr>
        <w:rPr>
          <w:rFonts w:hint="eastAsia" w:ascii="方正仿宋_GBK" w:hAnsi="方正仿宋_GBK" w:eastAsia="方正仿宋_GBK" w:cs="方正仿宋_GBK"/>
          <w:szCs w:val="32"/>
          <w:lang w:eastAsia="zh-CN"/>
        </w:rPr>
      </w:pPr>
      <w:r>
        <w:rPr>
          <w:rFonts w:hint="eastAsia" w:ascii="方正仿宋_GBK" w:hAnsi="方正仿宋_GBK" w:eastAsia="方正仿宋_GBK" w:cs="方正仿宋_GBK"/>
          <w:szCs w:val="32"/>
          <w:lang w:eastAsia="zh-CN"/>
        </w:rPr>
        <w:t>各有关单位</w:t>
      </w:r>
      <w:bookmarkEnd w:id="2"/>
      <w:bookmarkStart w:id="3" w:name="MainBody"/>
      <w:r>
        <w:rPr>
          <w:rFonts w:hint="eastAsia" w:ascii="方正仿宋_GBK" w:hAnsi="方正仿宋_GBK" w:eastAsia="方正仿宋_GBK" w:cs="方正仿宋_GBK"/>
          <w:szCs w:val="32"/>
          <w:lang w:eastAsia="zh-CN"/>
        </w:rPr>
        <w:t>：</w:t>
      </w:r>
    </w:p>
    <w:p w14:paraId="1DB817EF">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74" w:firstLineChars="200"/>
        <w:jc w:val="left"/>
        <w:textAlignment w:val="auto"/>
        <w:outlineLvl w:val="9"/>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eastAsia="zh-CN"/>
        </w:rPr>
        <w:t>根据</w:t>
      </w:r>
      <w:r>
        <w:rPr>
          <w:rFonts w:hint="eastAsia" w:ascii="方正仿宋_GBK" w:hAnsi="方正仿宋_GBK" w:eastAsia="方正仿宋_GBK" w:cs="方正仿宋_GBK"/>
          <w:sz w:val="32"/>
          <w:szCs w:val="32"/>
        </w:rPr>
        <w:t>省政府</w:t>
      </w:r>
      <w:r>
        <w:rPr>
          <w:rFonts w:hint="eastAsia" w:ascii="方正仿宋_GBK" w:hAnsi="方正仿宋_GBK" w:eastAsia="方正仿宋_GBK" w:cs="方正仿宋_GBK"/>
          <w:sz w:val="32"/>
          <w:szCs w:val="32"/>
          <w:lang w:eastAsia="zh-CN"/>
        </w:rPr>
        <w:t>专题会议精神要求</w:t>
      </w:r>
      <w:r>
        <w:rPr>
          <w:rFonts w:hint="eastAsia" w:ascii="方正仿宋_GBK" w:hAnsi="方正仿宋_GBK" w:eastAsia="方正仿宋_GBK" w:cs="方正仿宋_GBK"/>
          <w:sz w:val="32"/>
          <w:szCs w:val="32"/>
        </w:rPr>
        <w:t>，福建省科学技术厅、福建省教育厅联合制定了《关于组建海洋经济产业智库的工作方案》</w:t>
      </w:r>
      <w:r>
        <w:rPr>
          <w:rFonts w:hint="eastAsia" w:ascii="方正仿宋_GBK" w:hAnsi="方正仿宋_GBK" w:eastAsia="方正仿宋_GBK" w:cs="方正仿宋_GBK"/>
          <w:sz w:val="32"/>
          <w:szCs w:val="32"/>
          <w:lang w:eastAsia="zh-CN"/>
        </w:rPr>
        <w:t>，现</w:t>
      </w:r>
      <w:r>
        <w:rPr>
          <w:rFonts w:hint="eastAsia" w:ascii="方正仿宋_GBK" w:hAnsi="方正仿宋_GBK" w:eastAsia="方正仿宋_GBK" w:cs="方正仿宋_GBK"/>
          <w:sz w:val="32"/>
          <w:szCs w:val="32"/>
        </w:rPr>
        <w:t>印发给你们，请结合实际认真贯彻执行。</w:t>
      </w:r>
    </w:p>
    <w:p w14:paraId="6B22A21E">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74" w:firstLineChars="200"/>
        <w:jc w:val="left"/>
        <w:textAlignment w:val="auto"/>
        <w:outlineLvl w:val="9"/>
        <w:rPr>
          <w:rFonts w:hint="eastAsia" w:ascii="方正仿宋_GBK" w:hAnsi="方正仿宋_GBK" w:eastAsia="方正仿宋_GBK" w:cs="方正仿宋_GBK"/>
          <w:sz w:val="32"/>
          <w:szCs w:val="32"/>
        </w:rPr>
      </w:pPr>
    </w:p>
    <w:p w14:paraId="5BE88422">
      <w:pPr>
        <w:pStyle w:val="2"/>
        <w:rPr>
          <w:rFonts w:hint="eastAsia"/>
        </w:rPr>
      </w:pPr>
    </w:p>
    <w:p w14:paraId="1C4C5BCC">
      <w:pPr>
        <w:spacing w:line="400" w:lineRule="exact"/>
        <w:ind w:firstLine="1011" w:firstLineChars="300"/>
        <w:jc w:val="both"/>
        <w:rPr>
          <w:rFonts w:hint="eastAsia" w:ascii="方正仿宋_GBK" w:hAnsi="方正仿宋_GBK" w:eastAsia="方正仿宋_GBK" w:cs="方正仿宋_GBK"/>
          <w:szCs w:val="32"/>
          <w:lang w:eastAsia="zh-CN"/>
        </w:rPr>
      </w:pPr>
      <w:r>
        <w:rPr>
          <w:rFonts w:hint="eastAsia" w:ascii="方正仿宋_GBK" w:hAnsi="方正仿宋_GBK" w:eastAsia="方正仿宋_GBK" w:cs="方正仿宋_GBK"/>
          <w:szCs w:val="32"/>
        </w:rPr>
        <w:t xml:space="preserve">福建省科学技术厅 </w:t>
      </w:r>
      <w:r>
        <w:rPr>
          <w:rFonts w:hint="eastAsia" w:ascii="方正仿宋_GBK" w:hAnsi="方正仿宋_GBK" w:eastAsia="方正仿宋_GBK" w:cs="方正仿宋_GBK"/>
          <w:szCs w:val="32"/>
          <w:lang w:val="en-US" w:eastAsia="zh-CN"/>
        </w:rPr>
        <w:t xml:space="preserve">        </w:t>
      </w:r>
      <w:r>
        <w:rPr>
          <w:rFonts w:hint="eastAsia" w:ascii="方正仿宋_GBK" w:hAnsi="方正仿宋_GBK" w:eastAsia="方正仿宋_GBK" w:cs="方正仿宋_GBK"/>
          <w:szCs w:val="32"/>
          <w:lang w:eastAsia="zh-CN"/>
        </w:rPr>
        <w:t>福建省教育厅</w:t>
      </w:r>
    </w:p>
    <w:p w14:paraId="5C324787">
      <w:pPr>
        <w:spacing w:line="400" w:lineRule="exact"/>
        <w:rPr>
          <w:rFonts w:hint="eastAsia" w:ascii="方正仿宋_GBK" w:hAnsi="方正仿宋_GBK" w:eastAsia="方正仿宋_GBK" w:cs="方正仿宋_GBK"/>
          <w:szCs w:val="32"/>
        </w:rPr>
      </w:pPr>
      <w:r>
        <w:rPr>
          <w:rFonts w:hint="eastAsia" w:ascii="方正仿宋_GBK" w:hAnsi="方正仿宋_GBK" w:eastAsia="方正仿宋_GBK" w:cs="方正仿宋_GBK"/>
          <w:szCs w:val="32"/>
        </w:rPr>
        <w:t xml:space="preserve">                           </w:t>
      </w:r>
      <w:r>
        <w:rPr>
          <w:rFonts w:hint="eastAsia" w:ascii="方正仿宋_GBK" w:hAnsi="方正仿宋_GBK" w:eastAsia="方正仿宋_GBK" w:cs="方正仿宋_GBK"/>
          <w:szCs w:val="32"/>
          <w:lang w:val="en-US" w:eastAsia="zh-CN"/>
        </w:rPr>
        <w:t xml:space="preserve">  </w:t>
      </w:r>
      <w:r>
        <w:rPr>
          <w:rFonts w:hint="eastAsia" w:ascii="方正仿宋_GBK" w:hAnsi="方正仿宋_GBK" w:eastAsia="方正仿宋_GBK" w:cs="方正仿宋_GBK"/>
          <w:szCs w:val="32"/>
        </w:rPr>
        <w:t xml:space="preserve"> 202</w:t>
      </w:r>
      <w:r>
        <w:rPr>
          <w:rFonts w:hint="eastAsia" w:ascii="方正仿宋_GBK" w:hAnsi="方正仿宋_GBK" w:eastAsia="方正仿宋_GBK" w:cs="方正仿宋_GBK"/>
          <w:szCs w:val="32"/>
          <w:lang w:val="en-US" w:eastAsia="zh-CN"/>
        </w:rPr>
        <w:t>6</w:t>
      </w:r>
      <w:r>
        <w:rPr>
          <w:rFonts w:hint="eastAsia" w:ascii="方正仿宋_GBK" w:hAnsi="方正仿宋_GBK" w:eastAsia="方正仿宋_GBK" w:cs="方正仿宋_GBK"/>
          <w:szCs w:val="32"/>
        </w:rPr>
        <w:t>年</w:t>
      </w:r>
      <w:r>
        <w:rPr>
          <w:rFonts w:hint="eastAsia" w:ascii="方正仿宋_GBK" w:hAnsi="方正仿宋_GBK" w:eastAsia="方正仿宋_GBK" w:cs="方正仿宋_GBK"/>
          <w:szCs w:val="32"/>
          <w:lang w:val="en-US" w:eastAsia="zh-CN"/>
        </w:rPr>
        <w:t>6</w:t>
      </w:r>
      <w:r>
        <w:rPr>
          <w:rFonts w:hint="eastAsia" w:ascii="方正仿宋_GBK" w:hAnsi="方正仿宋_GBK" w:eastAsia="方正仿宋_GBK" w:cs="方正仿宋_GBK"/>
          <w:szCs w:val="32"/>
        </w:rPr>
        <w:t>月</w:t>
      </w:r>
      <w:r>
        <w:rPr>
          <w:rFonts w:hint="eastAsia" w:ascii="方正仿宋_GBK" w:hAnsi="方正仿宋_GBK" w:eastAsia="方正仿宋_GBK" w:cs="方正仿宋_GBK"/>
          <w:szCs w:val="32"/>
          <w:lang w:val="en-US" w:eastAsia="zh-CN"/>
        </w:rPr>
        <w:t>15</w:t>
      </w:r>
      <w:r>
        <w:rPr>
          <w:rFonts w:hint="eastAsia" w:ascii="方正仿宋_GBK" w:hAnsi="方正仿宋_GBK" w:eastAsia="方正仿宋_GBK" w:cs="方正仿宋_GBK"/>
          <w:szCs w:val="32"/>
        </w:rPr>
        <w:t>日</w:t>
      </w:r>
    </w:p>
    <w:p w14:paraId="12BAAADF">
      <w:pPr>
        <w:spacing w:line="400" w:lineRule="exact"/>
        <w:rPr>
          <w:rFonts w:hint="eastAsia" w:ascii="方正仿宋_GBK" w:hAnsi="方正仿宋_GBK" w:eastAsia="方正仿宋_GBK" w:cs="方正仿宋_GBK"/>
          <w:szCs w:val="32"/>
        </w:rPr>
      </w:pPr>
      <w:r>
        <w:rPr>
          <w:rFonts w:hint="eastAsia" w:ascii="方正仿宋_GBK" w:hAnsi="方正仿宋_GBK" w:eastAsia="方正仿宋_GBK" w:cs="方正仿宋_GBK"/>
          <w:szCs w:val="32"/>
        </w:rPr>
        <w:t xml:space="preserve">    （此件</w:t>
      </w:r>
      <w:r>
        <w:rPr>
          <w:rFonts w:hint="eastAsia" w:ascii="方正仿宋_GBK" w:hAnsi="方正仿宋_GBK" w:eastAsia="方正仿宋_GBK" w:cs="方正仿宋_GBK"/>
          <w:szCs w:val="32"/>
          <w:lang w:eastAsia="zh-CN"/>
        </w:rPr>
        <w:t>主动公开</w:t>
      </w:r>
      <w:r>
        <w:rPr>
          <w:rFonts w:hint="eastAsia" w:ascii="方正仿宋_GBK" w:hAnsi="方正仿宋_GBK" w:eastAsia="方正仿宋_GBK" w:cs="方正仿宋_GBK"/>
          <w:szCs w:val="32"/>
        </w:rPr>
        <w:t>）</w:t>
      </w:r>
    </w:p>
    <w:p w14:paraId="2F64B950">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674" w:firstLineChars="200"/>
        <w:jc w:val="left"/>
        <w:textAlignment w:val="auto"/>
        <w:outlineLvl w:val="9"/>
        <w:rPr>
          <w:rFonts w:hint="eastAsia" w:ascii="方正仿宋_GBK" w:hAnsi="方正仿宋_GBK" w:eastAsia="方正仿宋_GBK" w:cs="方正仿宋_GBK"/>
          <w:sz w:val="32"/>
          <w:szCs w:val="32"/>
        </w:rPr>
        <w:sectPr>
          <w:headerReference r:id="rId4" w:type="first"/>
          <w:footerReference r:id="rId6" w:type="first"/>
          <w:headerReference r:id="rId3" w:type="default"/>
          <w:footerReference r:id="rId5" w:type="default"/>
          <w:pgSz w:w="11906" w:h="16838"/>
          <w:pgMar w:top="2098" w:right="1531" w:bottom="1984" w:left="1531" w:header="851" w:footer="1417" w:gutter="0"/>
          <w:pgNumType w:fmt="decimal"/>
          <w:cols w:space="0" w:num="1"/>
          <w:titlePg/>
          <w:docGrid w:type="linesAndChars" w:linePitch="579" w:charSpace="3686"/>
        </w:sectPr>
      </w:pPr>
    </w:p>
    <w:p w14:paraId="25E2D817">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left"/>
        <w:textAlignment w:val="auto"/>
        <w:outlineLvl w:val="9"/>
        <w:rPr>
          <w:rFonts w:hint="eastAsia" w:ascii="黑体" w:hAnsi="黑体" w:eastAsia="黑体" w:cs="黑体"/>
          <w:sz w:val="32"/>
          <w:szCs w:val="32"/>
          <w:lang w:eastAsia="zh-CN"/>
        </w:rPr>
      </w:pPr>
      <w:r>
        <w:rPr>
          <w:rFonts w:hint="eastAsia" w:ascii="黑体" w:hAnsi="黑体" w:eastAsia="黑体" w:cs="黑体"/>
          <w:sz w:val="32"/>
          <w:szCs w:val="32"/>
          <w:lang w:eastAsia="zh-CN"/>
        </w:rPr>
        <w:t>附件</w:t>
      </w:r>
    </w:p>
    <w:p w14:paraId="2A0AEF84">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left"/>
        <w:textAlignment w:val="auto"/>
        <w:outlineLvl w:val="9"/>
        <w:rPr>
          <w:rFonts w:hint="eastAsia" w:ascii="黑体" w:hAnsi="黑体" w:eastAsia="黑体" w:cs="黑体"/>
          <w:sz w:val="32"/>
          <w:szCs w:val="32"/>
          <w:lang w:eastAsia="zh-CN"/>
        </w:rPr>
      </w:pPr>
    </w:p>
    <w:p w14:paraId="4F1B370E">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center"/>
        <w:textAlignment w:val="auto"/>
        <w:outlineLvl w:val="9"/>
        <w:rPr>
          <w:rFonts w:hint="eastAsia" w:ascii="仿宋_GB2312" w:hAnsi="仿宋_GB2312" w:eastAsia="仿宋_GB2312" w:cs="仿宋_GB2312"/>
          <w:sz w:val="32"/>
          <w:szCs w:val="32"/>
        </w:rPr>
      </w:pPr>
      <w:r>
        <w:rPr>
          <w:rFonts w:hint="eastAsia" w:ascii="方正小标宋简体" w:hAnsi="方正小标宋简体" w:eastAsia="方正小标宋简体" w:cs="方正小标宋简体"/>
          <w:bCs/>
          <w:sz w:val="44"/>
          <w:szCs w:val="44"/>
          <w:lang w:eastAsia="zh-CN"/>
        </w:rPr>
        <w:t>关于组建海洋经济产业智库的工作方案</w:t>
      </w:r>
    </w:p>
    <w:p w14:paraId="791D87B1">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74" w:firstLineChars="200"/>
        <w:jc w:val="left"/>
        <w:textAlignment w:val="auto"/>
        <w:outlineLvl w:val="9"/>
        <w:rPr>
          <w:rFonts w:hint="eastAsia" w:ascii="仿宋_GB2312" w:hAnsi="仿宋_GB2312" w:eastAsia="仿宋_GB2312" w:cs="仿宋_GB2312"/>
          <w:sz w:val="32"/>
          <w:szCs w:val="32"/>
        </w:rPr>
      </w:pPr>
    </w:p>
    <w:p w14:paraId="23666CC5">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74" w:firstLineChars="200"/>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为深入贯彻落实海洋强国战略，整合全省海洋领域优质智力资源，为福建省海洋强省建设提供系统性决策支撑，特制定本方案</w:t>
      </w:r>
      <w:r>
        <w:rPr>
          <w:rFonts w:hint="eastAsia" w:ascii="仿宋_GB2312" w:hAnsi="仿宋_GB2312" w:cs="仿宋_GB2312"/>
          <w:sz w:val="32"/>
          <w:szCs w:val="32"/>
          <w:lang w:eastAsia="zh-CN"/>
        </w:rPr>
        <w:t>：</w:t>
      </w:r>
    </w:p>
    <w:p w14:paraId="42206C4B">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textAlignment w:val="auto"/>
        <w:outlineLvl w:val="9"/>
        <w:rPr>
          <w:rFonts w:hint="eastAsia" w:ascii="仿宋_GB2312" w:hAnsi="仿宋_GB2312" w:eastAsia="仿宋_GB2312" w:cs="仿宋_GB2312"/>
          <w:sz w:val="32"/>
          <w:szCs w:val="32"/>
        </w:rPr>
      </w:pPr>
      <w:r>
        <w:rPr>
          <w:rFonts w:hint="eastAsia"/>
          <w:lang w:val="en-US" w:eastAsia="zh-CN"/>
        </w:rPr>
        <w:t xml:space="preserve">   </w:t>
      </w:r>
      <w:r>
        <w:rPr>
          <w:rFonts w:hint="eastAsia" w:ascii="仿宋_GB2312" w:hAnsi="仿宋_GB2312" w:eastAsia="仿宋_GB2312" w:cs="仿宋_GB2312"/>
          <w:sz w:val="32"/>
          <w:szCs w:val="32"/>
          <w:lang w:val="en-US" w:eastAsia="zh-CN"/>
        </w:rPr>
        <w:t xml:space="preserve">  </w:t>
      </w:r>
      <w:r>
        <w:rPr>
          <w:rFonts w:hint="eastAsia" w:ascii="黑体" w:hAnsi="黑体" w:eastAsia="黑体" w:cs="黑体"/>
          <w:sz w:val="32"/>
          <w:szCs w:val="32"/>
          <w:lang w:eastAsia="zh-CN"/>
        </w:rPr>
        <w:t>一、</w:t>
      </w:r>
      <w:r>
        <w:rPr>
          <w:rFonts w:hint="eastAsia" w:ascii="黑体" w:hAnsi="黑体" w:eastAsia="黑体" w:cs="黑体"/>
          <w:sz w:val="32"/>
          <w:szCs w:val="32"/>
        </w:rPr>
        <w:t>总体要求</w:t>
      </w:r>
    </w:p>
    <w:p w14:paraId="15B89D97">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textAlignment w:val="auto"/>
        <w:outlineLvl w:val="9"/>
        <w:rPr>
          <w:rFonts w:hint="eastAsia" w:ascii="楷体_GB2312" w:hAnsi="楷体_GB2312" w:eastAsia="楷体_GB2312" w:cs="楷体_GB2312"/>
          <w:sz w:val="32"/>
          <w:szCs w:val="32"/>
        </w:rPr>
      </w:pPr>
      <w:r>
        <w:rPr>
          <w:rFonts w:hint="eastAsia" w:ascii="仿宋_GB2312" w:hAnsi="仿宋_GB2312" w:eastAsia="仿宋_GB2312" w:cs="仿宋_GB2312"/>
          <w:sz w:val="32"/>
          <w:szCs w:val="32"/>
          <w:lang w:val="en-US" w:eastAsia="zh-CN"/>
        </w:rPr>
        <w:t xml:space="preserve">   </w:t>
      </w:r>
      <w:r>
        <w:rPr>
          <w:rFonts w:hint="eastAsia" w:ascii="楷体_GB2312" w:hAnsi="楷体_GB2312" w:eastAsia="楷体_GB2312" w:cs="楷体_GB2312"/>
          <w:sz w:val="32"/>
          <w:szCs w:val="32"/>
          <w:lang w:val="en-US" w:eastAsia="zh-CN"/>
        </w:rPr>
        <w:t xml:space="preserve"> （一）</w:t>
      </w:r>
      <w:r>
        <w:rPr>
          <w:rFonts w:hint="eastAsia" w:ascii="楷体_GB2312" w:hAnsi="楷体_GB2312" w:eastAsia="楷体_GB2312" w:cs="楷体_GB2312"/>
          <w:sz w:val="32"/>
          <w:szCs w:val="32"/>
        </w:rPr>
        <w:t>指导思想</w:t>
      </w:r>
    </w:p>
    <w:p w14:paraId="7E67CDC9">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以习近平总书记关于海洋强国建设的重要论述和在福建考察时的重要讲话精神为指导，深入贯彻落实党中央、国务院关于发展海洋经济的决策部署，在省委科技委的统一领导下，把握新发展阶段海洋经济发展特点规律，以推动海洋经济高质量发展为主题，以科技创新引领产业创新为主线，以服务政府决策和产业发展为导向，整合全省海洋领域优质智力资源，构建集战略研究、政策咨询、技术预测、产业评估于一体的高端智库平台，作为</w:t>
      </w:r>
      <w:r>
        <w:rPr>
          <w:rFonts w:hint="eastAsia" w:ascii="仿宋_GB2312" w:hAnsi="仿宋_GB2312" w:eastAsia="仿宋_GB2312" w:cs="仿宋_GB2312"/>
          <w:sz w:val="32"/>
          <w:szCs w:val="32"/>
          <w:lang w:val="en-US" w:eastAsia="zh-CN"/>
        </w:rPr>
        <w:t>省委</w:t>
      </w:r>
      <w:r>
        <w:rPr>
          <w:rFonts w:hint="eastAsia" w:ascii="仿宋_GB2312" w:hAnsi="仿宋_GB2312" w:eastAsia="仿宋_GB2312" w:cs="仿宋_GB2312"/>
          <w:sz w:val="32"/>
          <w:szCs w:val="32"/>
        </w:rPr>
        <w:t>科技咨询委重要组成部分</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为福建省海洋强省建设提供系统性、前瞻性、实用性决策支撑。</w:t>
      </w:r>
      <w:r>
        <w:rPr>
          <w:rFonts w:hint="eastAsia" w:ascii="仿宋_GB2312" w:hAnsi="仿宋_GB2312" w:eastAsia="仿宋_GB2312" w:cs="仿宋_GB2312"/>
          <w:sz w:val="32"/>
          <w:szCs w:val="32"/>
          <w:lang w:val="en-US" w:eastAsia="zh-CN"/>
        </w:rPr>
        <w:t xml:space="preserve"> </w:t>
      </w:r>
    </w:p>
    <w:p w14:paraId="25ED48D7">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textAlignment w:val="auto"/>
        <w:outlineLvl w:val="9"/>
        <w:rPr>
          <w:rFonts w:hint="eastAsia" w:ascii="楷体_GB2312" w:hAnsi="楷体_GB2312" w:eastAsia="楷体_GB2312" w:cs="楷体_GB2312"/>
          <w:sz w:val="32"/>
          <w:szCs w:val="32"/>
          <w:lang w:val="en-US" w:eastAsia="zh-CN"/>
        </w:rPr>
      </w:pPr>
      <w:r>
        <w:rPr>
          <w:rFonts w:hint="eastAsia" w:ascii="仿宋_GB2312" w:hAnsi="仿宋_GB2312" w:eastAsia="仿宋_GB2312" w:cs="仿宋_GB2312"/>
          <w:sz w:val="32"/>
          <w:szCs w:val="32"/>
          <w:lang w:val="en-US" w:eastAsia="zh-CN"/>
        </w:rPr>
        <w:t xml:space="preserve">    </w:t>
      </w:r>
      <w:r>
        <w:rPr>
          <w:rFonts w:hint="eastAsia" w:ascii="楷体_GB2312" w:hAnsi="楷体_GB2312" w:eastAsia="楷体_GB2312" w:cs="楷体_GB2312"/>
          <w:sz w:val="32"/>
          <w:szCs w:val="32"/>
          <w:lang w:val="en-US" w:eastAsia="zh-CN"/>
        </w:rPr>
        <w:t>（二）基本原则</w:t>
      </w:r>
    </w:p>
    <w:p w14:paraId="4347432D">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需求导向</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服务决策。围绕福建海洋经济发展重大战略问题和政策需求，聚焦海洋产业转型升级、科技创新、生态文明建设等关键领域，开展有针对性的政策研究，提供切实可行的解决方案。</w:t>
      </w:r>
    </w:p>
    <w:p w14:paraId="11C35DAA">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2.</w:t>
      </w:r>
      <w:r>
        <w:rPr>
          <w:rFonts w:hint="eastAsia" w:ascii="仿宋_GB2312" w:hAnsi="仿宋_GB2312" w:eastAsia="仿宋_GB2312" w:cs="仿宋_GB2312"/>
          <w:sz w:val="32"/>
          <w:szCs w:val="32"/>
        </w:rPr>
        <w:t>创新引领</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跨界融合。充分发挥科技创新在海洋经济发展中的引领作用，促进海洋技术与信息技术、生物技术、新材料技术等交叉融合，推动海洋产业向智能化、绿色化、高端化转型。</w:t>
      </w:r>
    </w:p>
    <w:p w14:paraId="24D78EF9">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3.</w:t>
      </w:r>
      <w:r>
        <w:rPr>
          <w:rFonts w:hint="eastAsia" w:ascii="仿宋_GB2312" w:hAnsi="仿宋_GB2312" w:eastAsia="仿宋_GB2312" w:cs="仿宋_GB2312"/>
          <w:sz w:val="32"/>
          <w:szCs w:val="32"/>
        </w:rPr>
        <w:t>开放协同</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资源共享。打破部门、区域、行业壁垒，建立开放共享的合作机制，汇聚省内外海洋领域高端人才和机构资源，形成产学研用多方协同、优势互补的智库网络体系。</w:t>
      </w:r>
    </w:p>
    <w:p w14:paraId="124E5702">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4.</w:t>
      </w:r>
      <w:r>
        <w:rPr>
          <w:rFonts w:hint="eastAsia" w:ascii="仿宋_GB2312" w:hAnsi="仿宋_GB2312" w:eastAsia="仿宋_GB2312" w:cs="仿宋_GB2312"/>
          <w:sz w:val="32"/>
          <w:szCs w:val="32"/>
        </w:rPr>
        <w:t>实效为重</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应用转化。注重研究成果实践价值和应用效果，建立畅通的成果转化渠道和反馈机制，推动智库成果及时转化为政策举措和企业行动，提升智库对经济社会发展的贡献度。</w:t>
      </w:r>
    </w:p>
    <w:p w14:paraId="4318D526">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textAlignment w:val="auto"/>
        <w:outlineLvl w:val="9"/>
        <w:rPr>
          <w:rFonts w:hint="eastAsia" w:ascii="楷体_GB2312" w:hAnsi="楷体_GB2312" w:eastAsia="楷体_GB2312" w:cs="楷体_GB2312"/>
          <w:sz w:val="32"/>
          <w:szCs w:val="32"/>
          <w:lang w:val="en-US" w:eastAsia="zh-CN"/>
        </w:rPr>
      </w:pPr>
      <w:r>
        <w:rPr>
          <w:rFonts w:hint="eastAsia" w:ascii="仿宋_GB2312" w:hAnsi="仿宋_GB2312" w:eastAsia="仿宋_GB2312" w:cs="仿宋_GB2312"/>
          <w:sz w:val="32"/>
          <w:szCs w:val="32"/>
          <w:lang w:val="en-US" w:eastAsia="zh-CN"/>
        </w:rPr>
        <w:t xml:space="preserve">    </w:t>
      </w:r>
      <w:r>
        <w:rPr>
          <w:rFonts w:hint="eastAsia" w:ascii="楷体_GB2312" w:hAnsi="楷体_GB2312" w:eastAsia="楷体_GB2312" w:cs="楷体_GB2312"/>
          <w:sz w:val="32"/>
          <w:szCs w:val="32"/>
          <w:lang w:val="en-US" w:eastAsia="zh-CN"/>
        </w:rPr>
        <w:t>（三）建设目标</w:t>
      </w:r>
    </w:p>
    <w:p w14:paraId="6B242850">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1.</w:t>
      </w:r>
      <w:r>
        <w:rPr>
          <w:rFonts w:hint="eastAsia" w:ascii="仿宋_GB2312" w:hAnsi="仿宋_GB2312" w:eastAsia="仿宋_GB2312" w:cs="仿宋_GB2312"/>
          <w:sz w:val="32"/>
          <w:szCs w:val="32"/>
        </w:rPr>
        <w:t>近期目标（202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年）：完成智库组建工作，建立基本组织架构和运行机制，</w:t>
      </w:r>
      <w:r>
        <w:rPr>
          <w:rFonts w:hint="eastAsia" w:ascii="仿宋_GB2312" w:hAnsi="仿宋_GB2312" w:eastAsia="仿宋_GB2312" w:cs="仿宋_GB2312"/>
          <w:sz w:val="32"/>
          <w:szCs w:val="32"/>
          <w:lang w:eastAsia="zh-CN"/>
        </w:rPr>
        <w:t>每年开展海洋科技创新发展研究报告，同步</w:t>
      </w:r>
      <w:r>
        <w:rPr>
          <w:rFonts w:hint="eastAsia" w:ascii="仿宋_GB2312" w:hAnsi="仿宋_GB2312" w:eastAsia="仿宋_GB2312" w:cs="仿宋_GB2312"/>
          <w:sz w:val="32"/>
          <w:szCs w:val="32"/>
        </w:rPr>
        <w:t>开展</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项重点课题研究，初步形成政策影响力。</w:t>
      </w:r>
    </w:p>
    <w:p w14:paraId="19546144">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2.</w:t>
      </w:r>
      <w:r>
        <w:rPr>
          <w:rFonts w:hint="eastAsia" w:ascii="仿宋_GB2312" w:hAnsi="仿宋_GB2312" w:eastAsia="仿宋_GB2312" w:cs="仿宋_GB2312"/>
          <w:sz w:val="32"/>
          <w:szCs w:val="32"/>
        </w:rPr>
        <w:t>中期目标（202</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年）：拓展智库研究领域和覆盖范围，形成一批有影响力的研究成果，每年</w:t>
      </w:r>
      <w:r>
        <w:rPr>
          <w:rFonts w:hint="eastAsia" w:ascii="仿宋_GB2312" w:hAnsi="仿宋_GB2312" w:eastAsia="仿宋_GB2312" w:cs="仿宋_GB2312"/>
          <w:sz w:val="32"/>
          <w:szCs w:val="32"/>
          <w:lang w:eastAsia="zh-CN"/>
        </w:rPr>
        <w:t>完成海洋科技创新发展研究报告，同步</w:t>
      </w:r>
      <w:r>
        <w:rPr>
          <w:rFonts w:hint="eastAsia" w:ascii="仿宋_GB2312" w:hAnsi="仿宋_GB2312" w:eastAsia="仿宋_GB2312" w:cs="仿宋_GB2312"/>
          <w:sz w:val="32"/>
          <w:szCs w:val="32"/>
        </w:rPr>
        <w:t>完成</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项重点课题研究，打造</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个特色研究品牌，成为东南沿海地区有影响力的海洋智库。</w:t>
      </w:r>
    </w:p>
    <w:p w14:paraId="4C9E6711">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3.</w:t>
      </w:r>
      <w:r>
        <w:rPr>
          <w:rFonts w:hint="eastAsia" w:ascii="仿宋_GB2312" w:hAnsi="仿宋_GB2312" w:eastAsia="仿宋_GB2312" w:cs="仿宋_GB2312"/>
          <w:sz w:val="32"/>
          <w:szCs w:val="32"/>
        </w:rPr>
        <w:t>长期目标（20</w:t>
      </w:r>
      <w:r>
        <w:rPr>
          <w:rFonts w:hint="eastAsia" w:ascii="仿宋_GB2312" w:hAnsi="仿宋_GB2312" w:eastAsia="仿宋_GB2312" w:cs="仿宋_GB2312"/>
          <w:sz w:val="32"/>
          <w:szCs w:val="32"/>
          <w:lang w:val="en-US" w:eastAsia="zh-CN"/>
        </w:rPr>
        <w:t>30</w:t>
      </w:r>
      <w:r>
        <w:rPr>
          <w:rFonts w:hint="eastAsia" w:ascii="仿宋_GB2312" w:hAnsi="仿宋_GB2312" w:eastAsia="仿宋_GB2312" w:cs="仿宋_GB2312"/>
          <w:sz w:val="32"/>
          <w:szCs w:val="32"/>
        </w:rPr>
        <w:t>年以后）：建设成为国家级海洋高端智库，形成完善的组织体系、运行机制和成果转化渠道，培养一支高水平海洋战略研究团队，在国际海洋事务中具有一定话语权，为福建省乃至全国海洋经济发展提供持续智力支持。</w:t>
      </w:r>
    </w:p>
    <w:p w14:paraId="40652079">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textAlignment w:val="auto"/>
        <w:outlineLvl w:val="9"/>
        <w:rPr>
          <w:rFonts w:hint="eastAsia" w:ascii="黑体" w:hAnsi="黑体" w:eastAsia="黑体" w:cs="黑体"/>
          <w:sz w:val="32"/>
          <w:szCs w:val="32"/>
        </w:rPr>
      </w:pPr>
      <w:r>
        <w:rPr>
          <w:rFonts w:hint="eastAsia" w:ascii="仿宋_GB2312" w:hAnsi="仿宋_GB2312" w:eastAsia="仿宋_GB2312" w:cs="仿宋_GB2312"/>
          <w:sz w:val="32"/>
          <w:szCs w:val="32"/>
          <w:lang w:val="en-US" w:eastAsia="zh-CN"/>
        </w:rPr>
        <w:t xml:space="preserve">    </w:t>
      </w:r>
      <w:r>
        <w:rPr>
          <w:rFonts w:hint="eastAsia" w:ascii="黑体" w:hAnsi="黑体" w:eastAsia="黑体" w:cs="黑体"/>
          <w:sz w:val="32"/>
          <w:szCs w:val="32"/>
          <w:lang w:val="en-US" w:eastAsia="zh-CN"/>
        </w:rPr>
        <w:t>二、</w:t>
      </w:r>
      <w:r>
        <w:rPr>
          <w:rFonts w:hint="eastAsia" w:ascii="黑体" w:hAnsi="黑体" w:eastAsia="黑体" w:cs="黑体"/>
          <w:sz w:val="32"/>
          <w:szCs w:val="32"/>
        </w:rPr>
        <w:t>重点任务</w:t>
      </w:r>
    </w:p>
    <w:p w14:paraId="1B317748">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textAlignment w:val="auto"/>
        <w:outlineLvl w:val="9"/>
        <w:rPr>
          <w:rFonts w:hint="eastAsia" w:ascii="楷体_GB2312" w:hAnsi="楷体_GB2312" w:eastAsia="楷体_GB2312" w:cs="楷体_GB2312"/>
          <w:sz w:val="32"/>
          <w:szCs w:val="32"/>
          <w:lang w:val="en-US" w:eastAsia="zh-CN"/>
        </w:rPr>
      </w:pPr>
      <w:r>
        <w:rPr>
          <w:rFonts w:hint="eastAsia" w:ascii="仿宋_GB2312" w:hAnsi="仿宋_GB2312" w:eastAsia="仿宋_GB2312" w:cs="仿宋_GB2312"/>
          <w:sz w:val="32"/>
          <w:szCs w:val="32"/>
          <w:lang w:val="en-US" w:eastAsia="zh-CN"/>
        </w:rPr>
        <w:t xml:space="preserve">   </w:t>
      </w:r>
      <w:r>
        <w:rPr>
          <w:rFonts w:hint="eastAsia" w:ascii="楷体_GB2312" w:hAnsi="楷体_GB2312" w:eastAsia="楷体_GB2312" w:cs="楷体_GB2312"/>
          <w:sz w:val="32"/>
          <w:szCs w:val="32"/>
          <w:lang w:val="en-US" w:eastAsia="zh-CN"/>
        </w:rPr>
        <w:t xml:space="preserve"> （一）智库组织架构</w:t>
      </w:r>
    </w:p>
    <w:p w14:paraId="4E3DEC7D">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采用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理事会+专家委员会+秘书处</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的三级组织架构，</w:t>
      </w:r>
      <w:r>
        <w:rPr>
          <w:rFonts w:hint="eastAsia" w:ascii="仿宋_GB2312" w:hAnsi="仿宋_GB2312" w:eastAsia="仿宋_GB2312" w:cs="仿宋_GB2312"/>
          <w:sz w:val="32"/>
          <w:szCs w:val="32"/>
          <w:lang w:eastAsia="zh-CN"/>
        </w:rPr>
        <w:t>结合“小核心、大网络”格局，</w:t>
      </w:r>
      <w:r>
        <w:rPr>
          <w:rFonts w:hint="eastAsia" w:ascii="仿宋_GB2312" w:hAnsi="仿宋_GB2312" w:eastAsia="仿宋_GB2312" w:cs="仿宋_GB2312"/>
          <w:sz w:val="32"/>
          <w:szCs w:val="32"/>
        </w:rPr>
        <w:t>确保智库科学决策和高效运行。</w:t>
      </w:r>
    </w:p>
    <w:p w14:paraId="4B72EDF3">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1.</w:t>
      </w:r>
      <w:r>
        <w:rPr>
          <w:rFonts w:hint="eastAsia" w:ascii="仿宋_GB2312" w:hAnsi="仿宋_GB2312" w:eastAsia="仿宋_GB2312" w:cs="仿宋_GB2312"/>
          <w:sz w:val="32"/>
          <w:szCs w:val="32"/>
        </w:rPr>
        <w:t>理事会</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最高决策机构，由省科技厅、省教育厅、</w:t>
      </w:r>
      <w:r>
        <w:rPr>
          <w:rFonts w:hint="eastAsia" w:ascii="仿宋_GB2312" w:hAnsi="仿宋_GB2312" w:eastAsia="仿宋_GB2312" w:cs="仿宋_GB2312"/>
          <w:sz w:val="32"/>
          <w:szCs w:val="32"/>
          <w:lang w:eastAsia="zh-CN"/>
        </w:rPr>
        <w:t>省发改委、省海洋渔业局、</w:t>
      </w:r>
      <w:r>
        <w:rPr>
          <w:rFonts w:hint="eastAsia" w:ascii="仿宋_GB2312" w:hAnsi="仿宋_GB2312" w:eastAsia="仿宋_GB2312" w:cs="仿宋_GB2312"/>
          <w:sz w:val="32"/>
          <w:szCs w:val="32"/>
        </w:rPr>
        <w:t>福建省创新研究院、主要依托单位领导和知名专家组成</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职责</w:t>
      </w:r>
      <w:r>
        <w:rPr>
          <w:rFonts w:hint="eastAsia" w:ascii="仿宋_GB2312" w:hAnsi="仿宋_GB2312" w:eastAsia="仿宋_GB2312" w:cs="仿宋_GB2312"/>
          <w:sz w:val="32"/>
          <w:szCs w:val="32"/>
          <w:lang w:eastAsia="zh-CN"/>
        </w:rPr>
        <w:t>包括</w:t>
      </w:r>
      <w:r>
        <w:rPr>
          <w:rFonts w:hint="eastAsia" w:ascii="仿宋_GB2312" w:hAnsi="仿宋_GB2312" w:eastAsia="仿宋_GB2312" w:cs="仿宋_GB2312"/>
          <w:sz w:val="32"/>
          <w:szCs w:val="32"/>
        </w:rPr>
        <w:t>是审议智库发展规划、年度工作计划、经费预算等重大事项，协调解决运行中的重大问题</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每年至少召开</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次会议。</w:t>
      </w:r>
    </w:p>
    <w:p w14:paraId="0FD30A7E">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2.</w:t>
      </w:r>
      <w:r>
        <w:rPr>
          <w:rFonts w:hint="eastAsia" w:ascii="仿宋_GB2312" w:hAnsi="仿宋_GB2312" w:eastAsia="仿宋_GB2312" w:cs="仿宋_GB2312"/>
          <w:sz w:val="32"/>
          <w:szCs w:val="32"/>
        </w:rPr>
        <w:t>专家委员会</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核心咨询机构，由海洋经济领域的顶尖专家组成，设主任1名、副主任2-3名</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下设海洋生物医药、海洋装备制造、海洋新能源、海洋渔业、海洋生态环境保护</w:t>
      </w:r>
      <w:r>
        <w:rPr>
          <w:rFonts w:hint="eastAsia" w:ascii="仿宋_GB2312" w:hAnsi="仿宋_GB2312" w:eastAsia="仿宋_GB2312" w:cs="仿宋_GB2312"/>
          <w:sz w:val="32"/>
          <w:szCs w:val="32"/>
          <w:lang w:eastAsia="zh-CN"/>
        </w:rPr>
        <w:t>、海洋信息</w:t>
      </w:r>
      <w:r>
        <w:rPr>
          <w:rFonts w:hint="eastAsia" w:ascii="仿宋_GB2312" w:hAnsi="仿宋_GB2312" w:eastAsia="仿宋_GB2312" w:cs="仿宋_GB2312"/>
          <w:sz w:val="32"/>
          <w:szCs w:val="32"/>
        </w:rPr>
        <w:t>等</w:t>
      </w:r>
      <w:r>
        <w:rPr>
          <w:rFonts w:hint="eastAsia" w:ascii="仿宋_GB2312" w:hAnsi="仿宋_GB2312" w:eastAsia="仿宋_GB2312" w:cs="仿宋_GB2312"/>
          <w:sz w:val="32"/>
          <w:szCs w:val="32"/>
          <w:lang w:eastAsia="zh-CN"/>
        </w:rPr>
        <w:t>专业组，</w:t>
      </w:r>
      <w:r>
        <w:rPr>
          <w:rFonts w:hint="eastAsia" w:ascii="仿宋_GB2312" w:hAnsi="仿宋_GB2312" w:eastAsia="仿宋_GB2312" w:cs="仿宋_GB2312"/>
          <w:sz w:val="32"/>
          <w:szCs w:val="32"/>
        </w:rPr>
        <w:t>负责审议研究方向</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课题设置，评估成果质量，指导学术活动。</w:t>
      </w:r>
    </w:p>
    <w:p w14:paraId="01C47C59">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3.</w:t>
      </w:r>
      <w:r>
        <w:rPr>
          <w:rFonts w:hint="eastAsia" w:ascii="仿宋_GB2312" w:hAnsi="仿宋_GB2312" w:eastAsia="仿宋_GB2312" w:cs="仿宋_GB2312"/>
          <w:sz w:val="32"/>
          <w:szCs w:val="32"/>
        </w:rPr>
        <w:t>秘书处</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常设执行机构，依托福建省创新研究院设立，配备专职人员</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负责日常管理、项目协调、</w:t>
      </w:r>
      <w:r>
        <w:rPr>
          <w:rFonts w:hint="eastAsia" w:ascii="仿宋_GB2312" w:hAnsi="仿宋_GB2312" w:eastAsia="仿宋_GB2312" w:cs="仿宋_GB2312"/>
          <w:sz w:val="32"/>
          <w:szCs w:val="32"/>
          <w:lang w:val="en-US" w:eastAsia="zh-CN"/>
        </w:rPr>
        <w:t>经费管理、</w:t>
      </w:r>
      <w:r>
        <w:rPr>
          <w:rFonts w:hint="eastAsia" w:ascii="仿宋_GB2312" w:hAnsi="仿宋_GB2312" w:eastAsia="仿宋_GB2312" w:cs="仿宋_GB2312"/>
          <w:sz w:val="32"/>
          <w:szCs w:val="32"/>
        </w:rPr>
        <w:t>信息收集、成果报送</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建立定期沟通机制，</w:t>
      </w:r>
      <w:r>
        <w:rPr>
          <w:rFonts w:hint="eastAsia" w:ascii="仿宋_GB2312" w:hAnsi="仿宋_GB2312" w:eastAsia="仿宋_GB2312" w:cs="仿宋_GB2312"/>
          <w:sz w:val="32"/>
          <w:szCs w:val="32"/>
          <w:lang w:eastAsia="zh-CN"/>
        </w:rPr>
        <w:t>衔接</w:t>
      </w:r>
      <w:r>
        <w:rPr>
          <w:rFonts w:hint="eastAsia" w:ascii="仿宋_GB2312" w:hAnsi="仿宋_GB2312" w:eastAsia="仿宋_GB2312" w:cs="仿宋_GB2312"/>
          <w:sz w:val="32"/>
          <w:szCs w:val="32"/>
        </w:rPr>
        <w:t>智库</w:t>
      </w:r>
      <w:r>
        <w:rPr>
          <w:rFonts w:hint="eastAsia" w:ascii="仿宋_GB2312" w:hAnsi="仿宋_GB2312" w:eastAsia="仿宋_GB2312" w:cs="仿宋_GB2312"/>
          <w:sz w:val="32"/>
          <w:szCs w:val="32"/>
          <w:lang w:eastAsia="zh-CN"/>
        </w:rPr>
        <w:t>与政府部门</w:t>
      </w:r>
      <w:r>
        <w:rPr>
          <w:rFonts w:hint="eastAsia" w:ascii="仿宋_GB2312" w:hAnsi="仿宋_GB2312" w:eastAsia="仿宋_GB2312" w:cs="仿宋_GB2312"/>
          <w:sz w:val="32"/>
          <w:szCs w:val="32"/>
        </w:rPr>
        <w:t>。</w:t>
      </w:r>
    </w:p>
    <w:p w14:paraId="34A0EE23">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4.</w:t>
      </w:r>
      <w:r>
        <w:rPr>
          <w:rFonts w:hint="eastAsia" w:ascii="仿宋_GB2312" w:hAnsi="仿宋_GB2312" w:eastAsia="仿宋_GB2312" w:cs="仿宋_GB2312"/>
          <w:sz w:val="32"/>
          <w:szCs w:val="32"/>
        </w:rPr>
        <w:t>网络平台</w:t>
      </w:r>
      <w:r>
        <w:rPr>
          <w:rFonts w:hint="eastAsia" w:ascii="仿宋_GB2312" w:hAnsi="仿宋_GB2312" w:eastAsia="仿宋_GB2312" w:cs="仿宋_GB2312"/>
          <w:sz w:val="32"/>
          <w:szCs w:val="32"/>
          <w:lang w:eastAsia="zh-CN"/>
        </w:rPr>
        <w:t>与研究基地：搭建</w:t>
      </w:r>
      <w:r>
        <w:rPr>
          <w:rFonts w:hint="eastAsia" w:ascii="仿宋_GB2312" w:hAnsi="仿宋_GB2312" w:eastAsia="仿宋_GB2312" w:cs="仿宋_GB2312"/>
          <w:sz w:val="32"/>
          <w:szCs w:val="32"/>
        </w:rPr>
        <w:t>智库</w:t>
      </w:r>
      <w:r>
        <w:rPr>
          <w:rFonts w:hint="eastAsia" w:ascii="仿宋_GB2312" w:hAnsi="仿宋_GB2312" w:eastAsia="仿宋_GB2312" w:cs="仿宋_GB2312"/>
          <w:sz w:val="32"/>
          <w:szCs w:val="32"/>
          <w:lang w:eastAsia="zh-CN"/>
        </w:rPr>
        <w:t>网络平台，</w:t>
      </w:r>
      <w:r>
        <w:rPr>
          <w:rFonts w:hint="eastAsia" w:ascii="仿宋_GB2312" w:hAnsi="仿宋_GB2312" w:eastAsia="仿宋_GB2312" w:cs="仿宋_GB2312"/>
          <w:sz w:val="32"/>
          <w:szCs w:val="32"/>
        </w:rPr>
        <w:t>整合省内涉海高校、科研机构和企业资源</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依托厦门大学、集美大学、自然资源部第三海洋研究所、省水产研究所等</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建立专业研究基地作为实体支撑。</w:t>
      </w:r>
    </w:p>
    <w:p w14:paraId="2739F7EB">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textAlignment w:val="auto"/>
        <w:outlineLvl w:val="9"/>
        <w:rPr>
          <w:rFonts w:hint="eastAsia" w:ascii="楷体_GB2312" w:hAnsi="楷体_GB2312" w:eastAsia="楷体_GB2312" w:cs="楷体_GB2312"/>
          <w:sz w:val="32"/>
          <w:szCs w:val="32"/>
          <w:lang w:val="en-US" w:eastAsia="zh-CN"/>
        </w:rPr>
      </w:pPr>
      <w:r>
        <w:rPr>
          <w:rFonts w:hint="eastAsia" w:ascii="仿宋_GB2312" w:hAnsi="仿宋_GB2312" w:eastAsia="仿宋_GB2312" w:cs="仿宋_GB2312"/>
          <w:sz w:val="32"/>
          <w:szCs w:val="32"/>
          <w:lang w:val="en-US" w:eastAsia="zh-CN"/>
        </w:rPr>
        <w:t xml:space="preserve">    </w:t>
      </w:r>
      <w:r>
        <w:rPr>
          <w:rFonts w:hint="eastAsia" w:ascii="楷体_GB2312" w:hAnsi="楷体_GB2312" w:eastAsia="楷体_GB2312" w:cs="楷体_GB2312"/>
          <w:sz w:val="32"/>
          <w:szCs w:val="32"/>
          <w:lang w:val="en-US" w:eastAsia="zh-CN"/>
        </w:rPr>
        <w:t>（二）完善智库运行机制</w:t>
      </w:r>
    </w:p>
    <w:p w14:paraId="6D0C9FB1">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1.</w:t>
      </w:r>
      <w:r>
        <w:rPr>
          <w:rFonts w:hint="eastAsia" w:ascii="仿宋_GB2312" w:hAnsi="仿宋_GB2312" w:eastAsia="仿宋_GB2312" w:cs="仿宋_GB2312"/>
          <w:sz w:val="32"/>
          <w:szCs w:val="32"/>
        </w:rPr>
        <w:t>课题形成机制：每年由省科技厅、</w:t>
      </w:r>
      <w:r>
        <w:rPr>
          <w:rFonts w:hint="eastAsia" w:ascii="仿宋_GB2312" w:hAnsi="仿宋_GB2312" w:eastAsia="仿宋_GB2312" w:cs="仿宋_GB2312"/>
          <w:sz w:val="32"/>
          <w:szCs w:val="32"/>
          <w:lang w:eastAsia="zh-CN"/>
        </w:rPr>
        <w:t>省教育厅、省发改委、省工信厅、</w:t>
      </w:r>
      <w:r>
        <w:rPr>
          <w:rFonts w:hint="eastAsia" w:ascii="仿宋_GB2312" w:hAnsi="仿宋_GB2312" w:eastAsia="仿宋_GB2312" w:cs="仿宋_GB2312"/>
          <w:sz w:val="32"/>
          <w:szCs w:val="32"/>
        </w:rPr>
        <w:t>省海洋与渔业局等部门</w:t>
      </w:r>
      <w:r>
        <w:rPr>
          <w:rFonts w:hint="eastAsia" w:ascii="仿宋_GB2312" w:hAnsi="仿宋_GB2312" w:eastAsia="仿宋_GB2312" w:cs="仿宋_GB2312"/>
          <w:sz w:val="32"/>
          <w:szCs w:val="32"/>
          <w:lang w:val="en-US" w:eastAsia="zh-CN"/>
        </w:rPr>
        <w:t>收集凝练</w:t>
      </w:r>
      <w:r>
        <w:rPr>
          <w:rFonts w:hint="eastAsia" w:ascii="仿宋_GB2312" w:hAnsi="仿宋_GB2312" w:eastAsia="仿宋_GB2312" w:cs="仿宋_GB2312"/>
          <w:sz w:val="32"/>
          <w:szCs w:val="32"/>
        </w:rPr>
        <w:t>需求，经专家论证后形成</w:t>
      </w:r>
      <w:r>
        <w:rPr>
          <w:rFonts w:hint="eastAsia" w:ascii="仿宋_GB2312" w:hAnsi="仿宋_GB2312" w:eastAsia="仿宋_GB2312" w:cs="仿宋_GB2312"/>
          <w:sz w:val="32"/>
          <w:szCs w:val="32"/>
          <w:lang w:val="en-US" w:eastAsia="zh-CN"/>
        </w:rPr>
        <w:t>需求清单并发布</w:t>
      </w:r>
      <w:r>
        <w:rPr>
          <w:rFonts w:hint="eastAsia" w:ascii="仿宋_GB2312" w:hAnsi="仿宋_GB2312" w:eastAsia="仿宋_GB2312" w:cs="仿宋_GB2312"/>
          <w:sz w:val="32"/>
          <w:szCs w:val="32"/>
        </w:rPr>
        <w:t>课题指南，</w:t>
      </w:r>
      <w:r>
        <w:rPr>
          <w:rFonts w:hint="eastAsia" w:ascii="仿宋_GB2312" w:hAnsi="仿宋_GB2312" w:eastAsia="仿宋_GB2312" w:cs="仿宋_GB2312"/>
          <w:sz w:val="32"/>
          <w:szCs w:val="32"/>
          <w:lang w:eastAsia="zh-CN"/>
        </w:rPr>
        <w:t>通过</w:t>
      </w:r>
      <w:r>
        <w:rPr>
          <w:rFonts w:hint="eastAsia" w:ascii="仿宋_GB2312" w:hAnsi="仿宋_GB2312" w:eastAsia="仿宋_GB2312" w:cs="仿宋_GB2312"/>
          <w:sz w:val="32"/>
          <w:szCs w:val="32"/>
          <w:lang w:val="en-US" w:eastAsia="zh-CN"/>
        </w:rPr>
        <w:t>评审立项</w:t>
      </w:r>
      <w:r>
        <w:rPr>
          <w:rFonts w:hint="eastAsia" w:ascii="仿宋_GB2312" w:hAnsi="仿宋_GB2312" w:eastAsia="仿宋_GB2312" w:cs="仿宋_GB2312"/>
          <w:sz w:val="32"/>
          <w:szCs w:val="32"/>
          <w:lang w:eastAsia="zh-CN"/>
        </w:rPr>
        <w:t>方式确定承担者；</w:t>
      </w:r>
      <w:r>
        <w:rPr>
          <w:rFonts w:hint="eastAsia" w:ascii="仿宋_GB2312" w:hAnsi="仿宋_GB2312" w:eastAsia="仿宋_GB2312" w:cs="仿宋_GB2312"/>
          <w:sz w:val="32"/>
          <w:szCs w:val="32"/>
        </w:rPr>
        <w:t>鼓励专家自选前瞻性课题，给予一定自主权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立项课题</w:t>
      </w:r>
      <w:r>
        <w:rPr>
          <w:rFonts w:hint="eastAsia" w:ascii="仿宋_GB2312" w:hAnsi="仿宋_GB2312" w:eastAsia="仿宋_GB2312" w:cs="仿宋_GB2312"/>
          <w:color w:val="auto"/>
          <w:sz w:val="32"/>
          <w:szCs w:val="32"/>
          <w:highlight w:val="none"/>
          <w:lang w:val="en-US" w:eastAsia="zh-CN"/>
        </w:rPr>
        <w:t>纳入省级重点课题管理序列</w:t>
      </w:r>
      <w:r>
        <w:rPr>
          <w:rFonts w:hint="eastAsia" w:ascii="仿宋_GB2312" w:hAnsi="仿宋_GB2312" w:eastAsia="仿宋_GB2312" w:cs="仿宋_GB2312"/>
          <w:sz w:val="32"/>
          <w:szCs w:val="32"/>
        </w:rPr>
        <w:t>。</w:t>
      </w:r>
    </w:p>
    <w:p w14:paraId="63E4C5AF">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2.</w:t>
      </w:r>
      <w:r>
        <w:rPr>
          <w:rFonts w:hint="eastAsia" w:ascii="仿宋_GB2312" w:hAnsi="仿宋_GB2312" w:eastAsia="仿宋_GB2312" w:cs="仿宋_GB2312"/>
          <w:sz w:val="32"/>
          <w:szCs w:val="32"/>
        </w:rPr>
        <w:t>协同研究机制：针对重大复杂问题，建立跨学科联合攻关机制，组</w:t>
      </w:r>
      <w:r>
        <w:rPr>
          <w:rFonts w:hint="eastAsia" w:ascii="仿宋_GB2312" w:hAnsi="仿宋_GB2312" w:eastAsia="仿宋_GB2312" w:cs="仿宋_GB2312"/>
          <w:sz w:val="32"/>
          <w:szCs w:val="32"/>
          <w:lang w:eastAsia="zh-CN"/>
        </w:rPr>
        <w:t>建</w:t>
      </w:r>
      <w:r>
        <w:rPr>
          <w:rFonts w:hint="eastAsia" w:ascii="仿宋_GB2312" w:hAnsi="仿宋_GB2312" w:eastAsia="仿宋_GB2312" w:cs="仿宋_GB2312"/>
          <w:sz w:val="32"/>
          <w:szCs w:val="32"/>
        </w:rPr>
        <w:t>研究团队开展综合集成研究</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定期举办学术沙龙、专题研讨等活动，促进专家交流</w:t>
      </w:r>
      <w:r>
        <w:rPr>
          <w:rFonts w:hint="eastAsia" w:ascii="仿宋_GB2312" w:hAnsi="仿宋_GB2312" w:eastAsia="仿宋_GB2312" w:cs="仿宋_GB2312"/>
          <w:sz w:val="32"/>
          <w:szCs w:val="32"/>
          <w:lang w:eastAsia="zh-CN"/>
        </w:rPr>
        <w:t>创新</w:t>
      </w:r>
      <w:r>
        <w:rPr>
          <w:rFonts w:hint="eastAsia" w:ascii="仿宋_GB2312" w:hAnsi="仿宋_GB2312" w:eastAsia="仿宋_GB2312" w:cs="仿宋_GB2312"/>
          <w:sz w:val="32"/>
          <w:szCs w:val="32"/>
        </w:rPr>
        <w:t>。</w:t>
      </w:r>
    </w:p>
    <w:p w14:paraId="676F2537">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3.</w:t>
      </w:r>
      <w:r>
        <w:rPr>
          <w:rFonts w:hint="eastAsia" w:ascii="仿宋_GB2312" w:hAnsi="仿宋_GB2312" w:eastAsia="仿宋_GB2312" w:cs="仿宋_GB2312"/>
          <w:sz w:val="32"/>
          <w:szCs w:val="32"/>
        </w:rPr>
        <w:t>成果评审机制：建立由同行专家、政府部门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使用单位组成的多方评价体系，完善成果分级标准，对成果进行科学性、实用性、创新性评价。</w:t>
      </w:r>
    </w:p>
    <w:p w14:paraId="7D206037">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4.</w:t>
      </w:r>
      <w:r>
        <w:rPr>
          <w:rFonts w:hint="eastAsia" w:ascii="仿宋_GB2312" w:hAnsi="仿宋_GB2312" w:eastAsia="仿宋_GB2312" w:cs="仿宋_GB2312"/>
          <w:sz w:val="32"/>
          <w:szCs w:val="32"/>
        </w:rPr>
        <w:t>应用转化机制：</w:t>
      </w:r>
      <w:r>
        <w:rPr>
          <w:rFonts w:hint="eastAsia" w:ascii="仿宋_GB2312" w:hAnsi="仿宋_GB2312" w:eastAsia="仿宋_GB2312" w:cs="仿宋_GB2312"/>
          <w:sz w:val="32"/>
          <w:szCs w:val="32"/>
          <w:lang w:val="en-US" w:eastAsia="zh-CN"/>
        </w:rPr>
        <w:t>积极创办自有内刊，不定期向省委省政府及相关部门报送研究成果</w:t>
      </w:r>
      <w:r>
        <w:rPr>
          <w:rFonts w:hint="eastAsia" w:ascii="仿宋_GB2312" w:hAnsi="仿宋_GB2312" w:eastAsia="仿宋_GB2312" w:cs="仿宋_GB2312"/>
          <w:sz w:val="32"/>
          <w:szCs w:val="32"/>
        </w:rPr>
        <w:t>；召开成果发布会、政策解读会；与媒体合作开设专栏</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建立与人大代表、政协委员的沟通渠道，通过议案提案促进成果转化。</w:t>
      </w:r>
    </w:p>
    <w:p w14:paraId="72F3D551">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textAlignment w:val="auto"/>
        <w:outlineLvl w:val="9"/>
        <w:rPr>
          <w:rFonts w:hint="eastAsia" w:ascii="楷体_GB2312" w:hAnsi="楷体_GB2312" w:eastAsia="楷体_GB2312" w:cs="楷体_GB2312"/>
          <w:sz w:val="32"/>
          <w:szCs w:val="32"/>
          <w:lang w:val="en-US" w:eastAsia="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 </w:t>
      </w:r>
      <w:r>
        <w:rPr>
          <w:rFonts w:hint="eastAsia" w:ascii="楷体_GB2312" w:hAnsi="楷体_GB2312" w:eastAsia="楷体_GB2312" w:cs="楷体_GB2312"/>
          <w:sz w:val="32"/>
          <w:szCs w:val="32"/>
          <w:lang w:val="en-US" w:eastAsia="zh-CN"/>
        </w:rPr>
        <w:t>（三）研究方向与内容</w:t>
      </w:r>
    </w:p>
    <w:p w14:paraId="5332253D">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紧扣福建省海洋经济发展需求，聚焦</w:t>
      </w:r>
      <w:r>
        <w:rPr>
          <w:rFonts w:hint="eastAsia" w:ascii="仿宋_GB2312" w:hAnsi="仿宋_GB2312" w:eastAsia="仿宋_GB2312" w:cs="仿宋_GB2312"/>
          <w:sz w:val="32"/>
          <w:szCs w:val="32"/>
          <w:lang w:eastAsia="zh-CN"/>
        </w:rPr>
        <w:t>四大研究</w:t>
      </w:r>
      <w:r>
        <w:rPr>
          <w:rFonts w:hint="eastAsia" w:ascii="仿宋_GB2312" w:hAnsi="仿宋_GB2312" w:eastAsia="仿宋_GB2312" w:cs="仿宋_GB2312"/>
          <w:sz w:val="32"/>
          <w:szCs w:val="32"/>
        </w:rPr>
        <w:t>方向：</w:t>
      </w:r>
    </w:p>
    <w:p w14:paraId="20997082">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1.</w:t>
      </w:r>
      <w:r>
        <w:rPr>
          <w:rFonts w:hint="eastAsia" w:ascii="仿宋_GB2312" w:hAnsi="仿宋_GB2312" w:eastAsia="仿宋_GB2312" w:cs="仿宋_GB2312"/>
          <w:sz w:val="32"/>
          <w:szCs w:val="32"/>
        </w:rPr>
        <w:t>海洋经济发展战略与规划研究：开展海洋经济中长期发展战略、海洋产业布局优化、海洋经济融合发展等研究。重点研究福建省海洋经济融入</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一带一路</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建设、海峡两岸海洋经济合作示范区建设等重大战略问题。</w:t>
      </w:r>
    </w:p>
    <w:p w14:paraId="0D096F2B">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2.</w:t>
      </w:r>
      <w:r>
        <w:rPr>
          <w:rFonts w:hint="eastAsia" w:ascii="仿宋_GB2312" w:hAnsi="仿宋_GB2312" w:eastAsia="仿宋_GB2312" w:cs="仿宋_GB2312"/>
          <w:sz w:val="32"/>
          <w:szCs w:val="32"/>
        </w:rPr>
        <w:t>海洋科技创新与产业政策研究：跟踪国际海洋科技前沿趋势，评估福建省海洋科技竞争力，提出关键技术攻关方向和路径</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研究促进海洋生物医药、高端装备、海水综合利用等新兴产业发展的政策，推动传统产业转型升级</w:t>
      </w:r>
      <w:r>
        <w:rPr>
          <w:rFonts w:hint="eastAsia" w:ascii="仿宋_GB2312" w:hAnsi="仿宋_GB2312" w:eastAsia="仿宋_GB2312" w:cs="仿宋_GB2312"/>
          <w:sz w:val="32"/>
          <w:szCs w:val="32"/>
          <w:lang w:eastAsia="zh-CN"/>
        </w:rPr>
        <w:t>；牵头编制年度海洋科技创新发展研究报告。</w:t>
      </w:r>
    </w:p>
    <w:p w14:paraId="70C794A9">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3.</w:t>
      </w:r>
      <w:r>
        <w:rPr>
          <w:rFonts w:hint="eastAsia" w:ascii="仿宋_GB2312" w:hAnsi="仿宋_GB2312" w:eastAsia="仿宋_GB2312" w:cs="仿宋_GB2312"/>
          <w:sz w:val="32"/>
          <w:szCs w:val="32"/>
        </w:rPr>
        <w:t>海洋生态文明与可持续发展研究：开展海洋生态文明制度设计、海洋生态系统保护修复、海洋环境污染防治等研究，提出海洋资源有偿使用、生态补偿等政策建议</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加强蓝碳经济研究，探索海洋碳汇交易机制。</w:t>
      </w:r>
    </w:p>
    <w:p w14:paraId="732B499D">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4.</w:t>
      </w:r>
      <w:r>
        <w:rPr>
          <w:rFonts w:hint="eastAsia" w:ascii="仿宋_GB2312" w:hAnsi="仿宋_GB2312" w:eastAsia="仿宋_GB2312" w:cs="仿宋_GB2312"/>
          <w:sz w:val="32"/>
          <w:szCs w:val="32"/>
        </w:rPr>
        <w:t>海洋合作与全球治理研究：探索深化闽台、中国-东盟海洋合作的方式，为福建海洋领域对外开放提供参考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研究国际海洋法律秩序变革、海洋领域国际规则制定，提出参与全球海洋治理的策略路径。</w:t>
      </w:r>
    </w:p>
    <w:p w14:paraId="72BD405D">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textAlignment w:val="auto"/>
        <w:outlineLvl w:val="9"/>
        <w:rPr>
          <w:rFonts w:hint="eastAsia" w:ascii="楷体_GB2312" w:hAnsi="楷体_GB2312" w:eastAsia="楷体_GB2312" w:cs="楷体_GB2312"/>
          <w:sz w:val="32"/>
          <w:szCs w:val="32"/>
          <w:lang w:val="en-US" w:eastAsia="zh-CN"/>
        </w:rPr>
      </w:pPr>
      <w:r>
        <w:rPr>
          <w:rFonts w:hint="eastAsia" w:ascii="仿宋_GB2312" w:hAnsi="仿宋_GB2312" w:eastAsia="仿宋_GB2312" w:cs="仿宋_GB2312"/>
          <w:sz w:val="32"/>
          <w:szCs w:val="32"/>
          <w:lang w:val="en-US" w:eastAsia="zh-CN"/>
        </w:rPr>
        <w:t xml:space="preserve">    </w:t>
      </w:r>
      <w:r>
        <w:rPr>
          <w:rFonts w:hint="eastAsia" w:ascii="楷体_GB2312" w:hAnsi="楷体_GB2312" w:eastAsia="楷体_GB2312" w:cs="楷体_GB2312"/>
          <w:sz w:val="32"/>
          <w:szCs w:val="32"/>
          <w:lang w:val="en-US" w:eastAsia="zh-CN"/>
        </w:rPr>
        <w:t>（四）强化成果转化与应用</w:t>
      </w:r>
    </w:p>
    <w:p w14:paraId="04F4B7E3">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1.</w:t>
      </w:r>
      <w:r>
        <w:rPr>
          <w:rFonts w:hint="eastAsia" w:ascii="仿宋_GB2312" w:hAnsi="仿宋_GB2312" w:eastAsia="仿宋_GB2312" w:cs="仿宋_GB2312"/>
          <w:sz w:val="32"/>
          <w:szCs w:val="32"/>
        </w:rPr>
        <w:t>建立</w:t>
      </w:r>
      <w:r>
        <w:rPr>
          <w:rFonts w:hint="eastAsia" w:ascii="仿宋_GB2312" w:hAnsi="仿宋_GB2312" w:eastAsia="仿宋_GB2312" w:cs="仿宋_GB2312"/>
          <w:sz w:val="32"/>
          <w:szCs w:val="32"/>
          <w:lang w:val="en-US" w:eastAsia="zh-CN"/>
        </w:rPr>
        <w:t>多</w:t>
      </w:r>
      <w:r>
        <w:rPr>
          <w:rFonts w:hint="eastAsia" w:ascii="仿宋_GB2312" w:hAnsi="仿宋_GB2312" w:eastAsia="仿宋_GB2312" w:cs="仿宋_GB2312"/>
          <w:sz w:val="32"/>
          <w:szCs w:val="32"/>
        </w:rPr>
        <w:t>渠道</w:t>
      </w:r>
      <w:r>
        <w:rPr>
          <w:rFonts w:hint="eastAsia" w:ascii="仿宋_GB2312" w:hAnsi="仿宋_GB2312" w:eastAsia="仿宋_GB2312" w:cs="仿宋_GB2312"/>
          <w:sz w:val="32"/>
          <w:szCs w:val="32"/>
          <w:lang w:val="en-US" w:eastAsia="zh-CN"/>
        </w:rPr>
        <w:t>报送机制</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积极创办自有内刊，同时不定期向现有内刊报送高质量研究成果</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建立批示反馈和采纳落实跟踪机制，推动研究成果进入决策程序。</w:t>
      </w:r>
    </w:p>
    <w:p w14:paraId="1A24B3D0">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2.</w:t>
      </w:r>
      <w:r>
        <w:rPr>
          <w:rFonts w:hint="eastAsia" w:ascii="仿宋_GB2312" w:hAnsi="仿宋_GB2312" w:eastAsia="仿宋_GB2312" w:cs="仿宋_GB2312"/>
          <w:sz w:val="32"/>
          <w:szCs w:val="32"/>
        </w:rPr>
        <w:t>形成政策转化机制：与</w:t>
      </w:r>
      <w:r>
        <w:rPr>
          <w:rFonts w:hint="eastAsia" w:ascii="仿宋_GB2312" w:hAnsi="仿宋_GB2312" w:eastAsia="仿宋_GB2312" w:cs="仿宋_GB2312"/>
          <w:sz w:val="32"/>
          <w:szCs w:val="32"/>
          <w:lang w:val="en-US" w:eastAsia="zh-CN"/>
        </w:rPr>
        <w:t>省委、</w:t>
      </w:r>
      <w:r>
        <w:rPr>
          <w:rFonts w:hint="eastAsia" w:ascii="仿宋_GB2312" w:hAnsi="仿宋_GB2312" w:eastAsia="仿宋_GB2312" w:cs="仿宋_GB2312"/>
          <w:sz w:val="32"/>
          <w:szCs w:val="32"/>
        </w:rPr>
        <w:t>省人大</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省政府</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省政协</w:t>
      </w:r>
      <w:r>
        <w:rPr>
          <w:rFonts w:hint="eastAsia" w:ascii="仿宋_GB2312" w:hAnsi="仿宋_GB2312" w:eastAsia="仿宋_GB2312" w:cs="仿宋_GB2312"/>
          <w:sz w:val="32"/>
          <w:szCs w:val="32"/>
        </w:rPr>
        <w:t>政策研究机构</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政策法规部门</w:t>
      </w:r>
      <w:r>
        <w:rPr>
          <w:rFonts w:hint="eastAsia" w:ascii="仿宋_GB2312" w:hAnsi="仿宋_GB2312" w:eastAsia="仿宋_GB2312" w:cs="仿宋_GB2312"/>
          <w:sz w:val="32"/>
          <w:szCs w:val="32"/>
        </w:rPr>
        <w:t>建立常态化联系，参与法律法规、规划方案、政策文件的起草论证工作</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将智库研究成果转化为人大代表议案、政协提案。</w:t>
      </w:r>
    </w:p>
    <w:p w14:paraId="2239EEF5">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3.</w:t>
      </w:r>
      <w:r>
        <w:rPr>
          <w:rFonts w:hint="eastAsia" w:ascii="仿宋_GB2312" w:hAnsi="仿宋_GB2312" w:eastAsia="仿宋_GB2312" w:cs="仿宋_GB2312"/>
          <w:sz w:val="32"/>
          <w:szCs w:val="32"/>
        </w:rPr>
        <w:t>开展政策解读宣传：</w:t>
      </w:r>
      <w:r>
        <w:rPr>
          <w:rFonts w:hint="eastAsia" w:ascii="仿宋_GB2312" w:hAnsi="仿宋_GB2312" w:eastAsia="仿宋_GB2312" w:cs="仿宋_GB2312"/>
          <w:sz w:val="32"/>
          <w:szCs w:val="32"/>
          <w:lang w:val="en-US" w:eastAsia="zh-CN"/>
        </w:rPr>
        <w:t>经省委宣传部审批同意后，通过</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海洋经济论坛</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蓝色发展对话</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等品牌活动</w:t>
      </w:r>
      <w:r>
        <w:rPr>
          <w:rFonts w:hint="eastAsia" w:ascii="仿宋_GB2312" w:hAnsi="仿宋_GB2312" w:eastAsia="仿宋_GB2312" w:cs="仿宋_GB2312"/>
          <w:sz w:val="32"/>
          <w:szCs w:val="32"/>
          <w:lang w:val="en-US" w:eastAsia="zh-CN"/>
        </w:rPr>
        <w:t>开展成果宣介环节</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通过媒体专访、专家文章等形式解读政策，引导社会预期，营造良好氛围。</w:t>
      </w:r>
    </w:p>
    <w:p w14:paraId="22096FB9">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4.</w:t>
      </w:r>
      <w:r>
        <w:rPr>
          <w:rFonts w:hint="eastAsia" w:ascii="仿宋_GB2312" w:hAnsi="仿宋_GB2312" w:eastAsia="仿宋_GB2312" w:cs="仿宋_GB2312"/>
          <w:sz w:val="32"/>
          <w:szCs w:val="32"/>
        </w:rPr>
        <w:t>推动企业技术转化：</w:t>
      </w:r>
      <w:r>
        <w:rPr>
          <w:rFonts w:hint="eastAsia" w:ascii="仿宋_GB2312" w:hAnsi="仿宋_GB2312" w:eastAsia="仿宋_GB2312" w:cs="仿宋_GB2312"/>
          <w:sz w:val="32"/>
          <w:szCs w:val="32"/>
          <w:lang w:val="en-US" w:eastAsia="zh-CN"/>
        </w:rPr>
        <w:t>通过</w:t>
      </w:r>
      <w:r>
        <w:rPr>
          <w:rFonts w:hint="eastAsia" w:ascii="仿宋_GB2312" w:hAnsi="仿宋_GB2312" w:eastAsia="仿宋_GB2312" w:cs="仿宋_GB2312"/>
          <w:color w:val="auto"/>
          <w:sz w:val="32"/>
          <w:szCs w:val="32"/>
          <w:highlight w:val="none"/>
          <w:lang w:val="en-US" w:eastAsia="zh-CN"/>
        </w:rPr>
        <w:t>省“产研融合”对接专场活动，</w:t>
      </w:r>
      <w:r>
        <w:rPr>
          <w:rFonts w:hint="eastAsia" w:ascii="仿宋_GB2312" w:hAnsi="仿宋_GB2312" w:eastAsia="仿宋_GB2312" w:cs="仿宋_GB2312"/>
          <w:sz w:val="32"/>
          <w:szCs w:val="32"/>
        </w:rPr>
        <w:t>建立智库与企业对接机制，开展</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专家企业行</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活动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鼓励专家通过技术入股、咨询服务参与企业创新，促进科技成果产业化。</w:t>
      </w:r>
    </w:p>
    <w:p w14:paraId="1F4898D5">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黑体" w:hAnsi="黑体" w:eastAsia="黑体" w:cs="黑体"/>
          <w:sz w:val="32"/>
          <w:szCs w:val="32"/>
          <w:lang w:val="en-US" w:eastAsia="zh-CN"/>
        </w:rPr>
        <w:t>三、</w:t>
      </w:r>
      <w:r>
        <w:rPr>
          <w:rFonts w:hint="eastAsia" w:ascii="黑体" w:hAnsi="黑体" w:eastAsia="黑体" w:cs="黑体"/>
          <w:sz w:val="32"/>
          <w:szCs w:val="32"/>
          <w:lang w:eastAsia="zh-CN"/>
        </w:rPr>
        <w:t>分工职责</w:t>
      </w:r>
    </w:p>
    <w:p w14:paraId="5A826B40">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 xml:space="preserve">    </w:t>
      </w:r>
      <w:r>
        <w:rPr>
          <w:rFonts w:hint="eastAsia" w:ascii="楷体_GB2312" w:hAnsi="楷体_GB2312" w:eastAsia="楷体_GB2312" w:cs="楷体_GB2312"/>
          <w:sz w:val="32"/>
          <w:szCs w:val="32"/>
          <w:lang w:val="en-US" w:eastAsia="zh-CN"/>
        </w:rPr>
        <w:t>（一）省科技厅：</w:t>
      </w:r>
      <w:r>
        <w:rPr>
          <w:rFonts w:hint="eastAsia" w:ascii="仿宋_GB2312" w:hAnsi="仿宋_GB2312" w:eastAsia="仿宋_GB2312" w:cs="仿宋_GB2312"/>
          <w:sz w:val="32"/>
          <w:szCs w:val="32"/>
          <w:lang w:eastAsia="zh-CN"/>
        </w:rPr>
        <w:t>统筹科研与产业对接。</w:t>
      </w:r>
      <w:r>
        <w:rPr>
          <w:rFonts w:hint="eastAsia" w:ascii="仿宋_GB2312" w:hAnsi="仿宋_GB2312" w:eastAsia="仿宋_GB2312" w:cs="仿宋_GB2312"/>
          <w:sz w:val="32"/>
          <w:szCs w:val="32"/>
        </w:rPr>
        <w:t>牵头组建智库专家委员会，制定委员会章程、工作规则及管理办法；筛选汇聚海洋经济领域高水平专家，建立专业化、多元化专家库；组织专家委员会开展重大课题研究、战略规划论证、技术成果评估等工作，为智库建设提供核心智力支撑。</w:t>
      </w:r>
      <w:r>
        <w:rPr>
          <w:rFonts w:hint="eastAsia" w:ascii="仿宋_GB2312" w:hAnsi="仿宋_GB2312" w:eastAsia="仿宋_GB2312" w:cs="仿宋_GB2312"/>
          <w:sz w:val="32"/>
          <w:szCs w:val="32"/>
          <w:lang w:eastAsia="zh-CN"/>
        </w:rPr>
        <w:t>梳理省级海洋科研平台、企业技术需求；制定智库课题管理办法，统筹省级科技专项经费；推动智库成果与企业、产业政策对接。</w:t>
      </w:r>
    </w:p>
    <w:p w14:paraId="029B1AC5">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0"/>
        <w:textAlignment w:val="auto"/>
        <w:outlineLvl w:val="9"/>
        <w:rPr>
          <w:rFonts w:hint="eastAsia" w:ascii="仿宋_GB2312" w:hAnsi="仿宋_GB2312" w:eastAsia="仿宋_GB2312" w:cs="仿宋_GB2312"/>
          <w:sz w:val="32"/>
          <w:szCs w:val="32"/>
          <w:lang w:eastAsia="zh-CN"/>
        </w:rPr>
      </w:pPr>
      <w:r>
        <w:rPr>
          <w:rFonts w:hint="eastAsia" w:ascii="楷体_GB2312" w:hAnsi="楷体_GB2312" w:eastAsia="楷体_GB2312" w:cs="楷体_GB2312"/>
          <w:sz w:val="32"/>
          <w:szCs w:val="32"/>
          <w:lang w:val="en-US" w:eastAsia="zh-CN"/>
        </w:rPr>
        <w:t xml:space="preserve">    （二）省教育厅：</w:t>
      </w:r>
      <w:r>
        <w:rPr>
          <w:rFonts w:hint="eastAsia" w:ascii="仿宋_GB2312" w:hAnsi="仿宋_GB2312" w:eastAsia="仿宋_GB2312" w:cs="仿宋_GB2312"/>
          <w:sz w:val="32"/>
          <w:szCs w:val="32"/>
          <w:lang w:eastAsia="zh-CN"/>
        </w:rPr>
        <w:t>整合</w:t>
      </w:r>
      <w:r>
        <w:rPr>
          <w:rFonts w:hint="eastAsia" w:ascii="仿宋_GB2312" w:hAnsi="仿宋_GB2312" w:eastAsia="仿宋_GB2312" w:cs="仿宋_GB2312"/>
          <w:sz w:val="32"/>
          <w:szCs w:val="32"/>
        </w:rPr>
        <w:t>高校人才力量，梳理省内涉海专业高校及核心研究团队，协调高校参与研究</w:t>
      </w:r>
      <w:r>
        <w:rPr>
          <w:rFonts w:hint="eastAsia" w:ascii="仿宋_GB2312" w:hAnsi="仿宋_GB2312" w:eastAsia="仿宋_GB2312" w:cs="仿宋_GB2312"/>
          <w:sz w:val="32"/>
          <w:szCs w:val="32"/>
          <w:lang w:eastAsia="zh-CN"/>
        </w:rPr>
        <w:t>。</w:t>
      </w:r>
    </w:p>
    <w:p w14:paraId="7F8381DE">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0"/>
        <w:textAlignment w:val="auto"/>
        <w:outlineLvl w:val="9"/>
        <w:rPr>
          <w:rFonts w:hint="eastAsia" w:ascii="仿宋_GB2312" w:hAnsi="仿宋_GB2312" w:eastAsia="仿宋_GB2312" w:cs="仿宋_GB2312"/>
          <w:sz w:val="32"/>
          <w:szCs w:val="32"/>
          <w:lang w:eastAsia="zh-CN"/>
        </w:rPr>
      </w:pPr>
      <w:r>
        <w:rPr>
          <w:rFonts w:hint="eastAsia" w:ascii="楷体_GB2312" w:hAnsi="楷体_GB2312" w:eastAsia="楷体_GB2312" w:cs="楷体_GB2312"/>
          <w:sz w:val="32"/>
          <w:szCs w:val="32"/>
          <w:lang w:val="en-US" w:eastAsia="zh-CN"/>
        </w:rPr>
        <w:t xml:space="preserve">    （三）</w:t>
      </w:r>
      <w:r>
        <w:rPr>
          <w:rFonts w:hint="eastAsia" w:ascii="楷体_GB2312" w:hAnsi="楷体_GB2312" w:eastAsia="楷体_GB2312" w:cs="楷体_GB2312"/>
          <w:sz w:val="32"/>
          <w:szCs w:val="32"/>
          <w:lang w:eastAsia="zh-CN"/>
        </w:rPr>
        <w:t>省海洋渔业局：</w:t>
      </w:r>
      <w:r>
        <w:rPr>
          <w:rFonts w:hint="eastAsia" w:ascii="仿宋_GB2312" w:hAnsi="仿宋_GB2312" w:eastAsia="仿宋_GB2312" w:cs="仿宋_GB2312"/>
          <w:sz w:val="32"/>
          <w:szCs w:val="32"/>
          <w:lang w:eastAsia="zh-CN"/>
        </w:rPr>
        <w:t>负责提供海洋经济、渔业领域专业知识与数据，参与智库组建与运营，协助开展相关调研及项目评估等工作。</w:t>
      </w:r>
    </w:p>
    <w:p w14:paraId="6E32E4FC">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textAlignment w:val="auto"/>
        <w:outlineLvl w:val="9"/>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eastAsia="zh-CN"/>
        </w:rPr>
        <w:t>（四）</w:t>
      </w:r>
      <w:r>
        <w:rPr>
          <w:rFonts w:hint="eastAsia" w:ascii="楷体_GB2312" w:hAnsi="楷体_GB2312" w:eastAsia="楷体_GB2312" w:cs="楷体_GB2312"/>
          <w:sz w:val="32"/>
          <w:szCs w:val="32"/>
          <w:lang w:val="en-US" w:eastAsia="zh-CN"/>
        </w:rPr>
        <w:t>省创新研究院：</w:t>
      </w:r>
      <w:r>
        <w:rPr>
          <w:rFonts w:hint="eastAsia" w:ascii="仿宋_GB2312" w:hAnsi="仿宋_GB2312" w:eastAsia="仿宋_GB2312" w:cs="仿宋_GB2312"/>
          <w:sz w:val="32"/>
          <w:szCs w:val="32"/>
        </w:rPr>
        <w:t>作为依托单位，提供办公场地和人员配备，负责秘书处日常工作，</w:t>
      </w:r>
      <w:r>
        <w:rPr>
          <w:rFonts w:hint="eastAsia" w:ascii="仿宋_GB2312" w:hAnsi="仿宋_GB2312" w:eastAsia="仿宋_GB2312" w:cs="仿宋_GB2312"/>
          <w:sz w:val="32"/>
          <w:szCs w:val="32"/>
          <w:lang w:val="en-US" w:eastAsia="zh-CN"/>
        </w:rPr>
        <w:t>专项经费管理和支出，</w:t>
      </w:r>
      <w:r>
        <w:rPr>
          <w:rFonts w:hint="eastAsia" w:ascii="仿宋_GB2312" w:hAnsi="仿宋_GB2312" w:eastAsia="仿宋_GB2312" w:cs="仿宋_GB2312"/>
          <w:sz w:val="32"/>
          <w:szCs w:val="32"/>
        </w:rPr>
        <w:t>协调智库与共建单位的关系，促进成果转化应用。</w:t>
      </w:r>
    </w:p>
    <w:p w14:paraId="0A5317C0">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楷体_GB2312" w:hAnsi="楷体_GB2312" w:eastAsia="楷体_GB2312" w:cs="楷体_GB2312"/>
          <w:sz w:val="32"/>
          <w:szCs w:val="32"/>
          <w:lang w:eastAsia="zh-CN"/>
        </w:rPr>
        <w:t>（五）</w:t>
      </w:r>
      <w:r>
        <w:rPr>
          <w:rFonts w:hint="eastAsia" w:ascii="楷体_GB2312" w:hAnsi="楷体_GB2312" w:eastAsia="楷体_GB2312" w:cs="楷体_GB2312"/>
          <w:sz w:val="32"/>
          <w:szCs w:val="32"/>
          <w:lang w:val="en-US" w:eastAsia="zh-CN"/>
        </w:rPr>
        <w:t>其他相关部门：</w:t>
      </w:r>
      <w:r>
        <w:rPr>
          <w:rFonts w:hint="eastAsia" w:ascii="仿宋_GB2312" w:hAnsi="仿宋_GB2312" w:eastAsia="仿宋_GB2312" w:cs="仿宋_GB2312"/>
          <w:sz w:val="32"/>
          <w:szCs w:val="32"/>
        </w:rPr>
        <w:t>省发改委、</w:t>
      </w:r>
      <w:r>
        <w:rPr>
          <w:rFonts w:hint="eastAsia" w:ascii="仿宋_GB2312" w:hAnsi="仿宋_GB2312" w:eastAsia="仿宋_GB2312" w:cs="仿宋_GB2312"/>
          <w:sz w:val="32"/>
          <w:szCs w:val="32"/>
          <w:lang w:eastAsia="zh-CN"/>
        </w:rPr>
        <w:t>省工信厅、</w:t>
      </w:r>
      <w:r>
        <w:rPr>
          <w:rFonts w:hint="eastAsia" w:ascii="仿宋_GB2312" w:hAnsi="仿宋_GB2312" w:eastAsia="仿宋_GB2312" w:cs="仿宋_GB2312"/>
          <w:sz w:val="32"/>
          <w:szCs w:val="32"/>
        </w:rPr>
        <w:t>省生态环境厅</w:t>
      </w:r>
      <w:r>
        <w:rPr>
          <w:rFonts w:hint="eastAsia" w:ascii="仿宋_GB2312" w:hAnsi="仿宋_GB2312" w:eastAsia="仿宋_GB2312" w:cs="仿宋_GB2312"/>
          <w:sz w:val="32"/>
          <w:szCs w:val="32"/>
          <w:lang w:eastAsia="zh-CN"/>
        </w:rPr>
        <w:t>、福州海关、厦门海关</w:t>
      </w:r>
      <w:r>
        <w:rPr>
          <w:rFonts w:hint="eastAsia" w:ascii="仿宋_GB2312" w:hAnsi="仿宋_GB2312" w:eastAsia="仿宋_GB2312" w:cs="仿宋_GB2312"/>
          <w:sz w:val="32"/>
          <w:szCs w:val="32"/>
        </w:rPr>
        <w:t>等</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结合职能提供需求信息、数据资料和政策支持，参与智库活动和成果应用。</w:t>
      </w:r>
    </w:p>
    <w:p w14:paraId="26795D5F">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textAlignment w:val="auto"/>
        <w:outlineLvl w:val="9"/>
        <w:rPr>
          <w:rFonts w:hint="eastAsia" w:ascii="黑体" w:hAnsi="黑体" w:eastAsia="黑体" w:cs="黑体"/>
          <w:sz w:val="32"/>
          <w:szCs w:val="32"/>
        </w:rPr>
      </w:pPr>
      <w:r>
        <w:rPr>
          <w:rFonts w:hint="eastAsia" w:ascii="仿宋_GB2312" w:hAnsi="仿宋_GB2312" w:eastAsia="仿宋_GB2312" w:cs="仿宋_GB2312"/>
          <w:sz w:val="32"/>
          <w:szCs w:val="32"/>
          <w:lang w:val="en-US" w:eastAsia="zh-CN"/>
        </w:rPr>
        <w:t xml:space="preserve">    </w:t>
      </w:r>
      <w:r>
        <w:rPr>
          <w:rFonts w:hint="eastAsia" w:ascii="黑体" w:hAnsi="黑体" w:eastAsia="黑体" w:cs="黑体"/>
          <w:sz w:val="32"/>
          <w:szCs w:val="32"/>
          <w:lang w:val="en-US" w:eastAsia="zh-CN"/>
        </w:rPr>
        <w:t>四、</w:t>
      </w:r>
      <w:r>
        <w:rPr>
          <w:rFonts w:hint="eastAsia" w:ascii="黑体" w:hAnsi="黑体" w:eastAsia="黑体" w:cs="黑体"/>
          <w:sz w:val="32"/>
          <w:szCs w:val="32"/>
        </w:rPr>
        <w:t>保障</w:t>
      </w:r>
      <w:r>
        <w:rPr>
          <w:rFonts w:hint="eastAsia" w:ascii="黑体" w:hAnsi="黑体" w:eastAsia="黑体" w:cs="黑体"/>
          <w:sz w:val="32"/>
          <w:szCs w:val="32"/>
          <w:lang w:eastAsia="zh-CN"/>
        </w:rPr>
        <w:t>措施</w:t>
      </w:r>
    </w:p>
    <w:p w14:paraId="16A1B5DE">
      <w:pPr>
        <w:keepNext w:val="0"/>
        <w:keepLines w:val="0"/>
        <w:pageBreakBefore w:val="0"/>
        <w:widowControl w:val="0"/>
        <w:kinsoku/>
        <w:wordWrap/>
        <w:overflowPunct/>
        <w:topLinePunct w:val="0"/>
        <w:autoSpaceDE/>
        <w:autoSpaceDN/>
        <w:bidi w:val="0"/>
        <w:adjustRightInd/>
        <w:snapToGrid/>
        <w:spacing w:line="620" w:lineRule="exact"/>
        <w:ind w:left="0" w:leftChars="0" w:right="0" w:rightChars="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楷体_GB2312" w:hAnsi="楷体_GB2312" w:eastAsia="楷体_GB2312" w:cs="楷体_GB2312"/>
          <w:sz w:val="32"/>
          <w:szCs w:val="32"/>
          <w:lang w:val="en-US" w:eastAsia="zh-CN"/>
        </w:rPr>
        <w:t xml:space="preserve"> （一）资金保障：</w:t>
      </w:r>
      <w:r>
        <w:rPr>
          <w:rFonts w:hint="eastAsia" w:ascii="仿宋_GB2312" w:hAnsi="仿宋_GB2312" w:eastAsia="仿宋_GB2312" w:cs="仿宋_GB2312"/>
          <w:sz w:val="32"/>
          <w:szCs w:val="32"/>
          <w:lang w:val="en-US" w:eastAsia="zh-CN"/>
        </w:rPr>
        <w:t>所需资金</w:t>
      </w:r>
      <w:r>
        <w:rPr>
          <w:rFonts w:hint="eastAsia" w:ascii="仿宋_GB2312" w:hAnsi="仿宋_GB2312" w:eastAsia="仿宋_GB2312" w:cs="仿宋_GB2312"/>
          <w:b w:val="0"/>
          <w:bCs w:val="0"/>
          <w:sz w:val="32"/>
          <w:szCs w:val="32"/>
          <w:lang w:eastAsia="zh-CN"/>
        </w:rPr>
        <w:t>根据实际需求安排拨付，后续纳入</w:t>
      </w:r>
      <w:r>
        <w:rPr>
          <w:rFonts w:hint="eastAsia" w:ascii="仿宋_GB2312" w:hAnsi="仿宋_GB2312" w:eastAsia="仿宋_GB2312" w:cs="仿宋_GB2312"/>
          <w:sz w:val="32"/>
          <w:szCs w:val="32"/>
          <w:lang w:eastAsia="zh-CN"/>
        </w:rPr>
        <w:t>省科技咨询委工作经费统筹</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sz w:val="32"/>
          <w:szCs w:val="32"/>
          <w:lang w:val="en-US" w:eastAsia="zh-CN"/>
        </w:rPr>
        <w:t>由</w:t>
      </w:r>
      <w:r>
        <w:rPr>
          <w:rFonts w:hint="eastAsia" w:ascii="仿宋_GB2312" w:hAnsi="仿宋_GB2312" w:eastAsia="仿宋_GB2312" w:cs="仿宋_GB2312"/>
          <w:color w:val="auto"/>
          <w:sz w:val="32"/>
          <w:szCs w:val="32"/>
          <w:highlight w:val="none"/>
          <w:u w:val="none" w:color="auto"/>
          <w:lang w:val="en-US" w:eastAsia="zh-CN"/>
        </w:rPr>
        <w:t>省创新研究院负责管理，</w:t>
      </w:r>
      <w:r>
        <w:rPr>
          <w:rFonts w:hint="eastAsia" w:ascii="仿宋_GB2312" w:hAnsi="仿宋_GB2312" w:eastAsia="仿宋_GB2312" w:cs="仿宋_GB2312"/>
          <w:sz w:val="32"/>
          <w:szCs w:val="32"/>
        </w:rPr>
        <w:t>用于课题研究、学术</w:t>
      </w:r>
      <w:r>
        <w:rPr>
          <w:rFonts w:hint="eastAsia" w:ascii="仿宋_GB2312" w:hAnsi="仿宋_GB2312" w:eastAsia="仿宋_GB2312" w:cs="仿宋_GB2312"/>
          <w:sz w:val="32"/>
          <w:szCs w:val="32"/>
          <w:lang w:eastAsia="zh-CN"/>
        </w:rPr>
        <w:t>交流</w:t>
      </w:r>
      <w:r>
        <w:rPr>
          <w:rFonts w:hint="eastAsia" w:ascii="仿宋_GB2312" w:hAnsi="仿宋_GB2312" w:eastAsia="仿宋_GB2312" w:cs="仿宋_GB2312"/>
          <w:sz w:val="32"/>
          <w:szCs w:val="32"/>
        </w:rPr>
        <w:t>活动、专家劳务</w:t>
      </w:r>
      <w:r>
        <w:rPr>
          <w:rFonts w:hint="eastAsia" w:ascii="仿宋_GB2312" w:hAnsi="仿宋_GB2312" w:eastAsia="仿宋_GB2312" w:cs="仿宋_GB2312"/>
          <w:sz w:val="32"/>
          <w:szCs w:val="32"/>
          <w:lang w:eastAsia="zh-CN"/>
        </w:rPr>
        <w:t>报酬</w:t>
      </w:r>
      <w:r>
        <w:rPr>
          <w:rFonts w:hint="eastAsia" w:ascii="仿宋_GB2312" w:hAnsi="仿宋_GB2312" w:eastAsia="仿宋_GB2312" w:cs="仿宋_GB2312"/>
          <w:color w:val="auto"/>
          <w:sz w:val="32"/>
          <w:szCs w:val="32"/>
          <w:highlight w:val="none"/>
          <w:u w:val="none" w:color="auto"/>
          <w:lang w:val="en-US" w:eastAsia="zh-CN"/>
        </w:rPr>
        <w:t>、数据平台建设、科研补贴、智库日常运营及人员保障等</w:t>
      </w:r>
      <w:r>
        <w:rPr>
          <w:rFonts w:hint="eastAsia" w:ascii="仿宋_GB2312" w:hAnsi="仿宋_GB2312" w:eastAsia="仿宋_GB2312" w:cs="仿宋_GB2312"/>
          <w:sz w:val="32"/>
          <w:szCs w:val="32"/>
        </w:rPr>
        <w:t>。</w:t>
      </w:r>
    </w:p>
    <w:p w14:paraId="68AD81EB">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r>
        <w:rPr>
          <w:rFonts w:hint="eastAsia" w:ascii="楷体_GB2312" w:hAnsi="楷体_GB2312" w:eastAsia="楷体_GB2312" w:cs="楷体_GB2312"/>
          <w:sz w:val="32"/>
          <w:szCs w:val="32"/>
          <w:lang w:val="en-US" w:eastAsia="zh-CN"/>
        </w:rPr>
        <w:t xml:space="preserve"> （二）数据保障：</w:t>
      </w:r>
      <w:r>
        <w:rPr>
          <w:rFonts w:hint="eastAsia" w:ascii="仿宋_GB2312" w:hAnsi="仿宋_GB2312" w:eastAsia="仿宋_GB2312" w:cs="仿宋_GB2312"/>
          <w:sz w:val="32"/>
          <w:szCs w:val="32"/>
          <w:lang w:val="en-US" w:eastAsia="zh-CN"/>
        </w:rPr>
        <w:t>省科技厅协调省发改委、省工信厅、省海洋与渔业局、厦门海关、福州海关，向省创新研究院开放海洋产业基础数据；省创新研究院</w:t>
      </w:r>
      <w:r>
        <w:rPr>
          <w:rFonts w:hint="eastAsia" w:ascii="仿宋_GB2312" w:hAnsi="仿宋_GB2312" w:eastAsia="仿宋_GB2312" w:cs="仿宋_GB2312"/>
          <w:sz w:val="32"/>
          <w:szCs w:val="32"/>
        </w:rPr>
        <w:t>依托省公共数据汇聚共享平台，开展海洋产业基础数据整合共享，支</w:t>
      </w:r>
      <w:r>
        <w:rPr>
          <w:rFonts w:hint="eastAsia" w:ascii="仿宋_GB2312" w:hAnsi="仿宋_GB2312" w:eastAsia="仿宋_GB2312" w:cs="仿宋_GB2312"/>
          <w:sz w:val="32"/>
          <w:szCs w:val="32"/>
          <w:lang w:eastAsia="zh-CN"/>
        </w:rPr>
        <w:t>持</w:t>
      </w:r>
      <w:r>
        <w:rPr>
          <w:rFonts w:hint="eastAsia" w:ascii="仿宋_GB2312" w:hAnsi="仿宋_GB2312" w:eastAsia="仿宋_GB2312" w:cs="仿宋_GB2312"/>
          <w:sz w:val="32"/>
          <w:szCs w:val="32"/>
        </w:rPr>
        <w:t>核心单位海洋领域数据应用场景落地</w:t>
      </w:r>
      <w:r>
        <w:rPr>
          <w:rFonts w:hint="eastAsia" w:ascii="仿宋_GB2312" w:hAnsi="仿宋_GB2312" w:eastAsia="仿宋_GB2312" w:cs="仿宋_GB2312"/>
          <w:sz w:val="32"/>
          <w:szCs w:val="32"/>
          <w:lang w:val="en-US" w:eastAsia="zh-CN"/>
        </w:rPr>
        <w:t>。</w:t>
      </w:r>
    </w:p>
    <w:p w14:paraId="42B324AD">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楷体_GB2312" w:hAnsi="楷体_GB2312" w:eastAsia="楷体_GB2312" w:cs="楷体_GB2312"/>
          <w:sz w:val="32"/>
          <w:szCs w:val="32"/>
          <w:lang w:val="en-US" w:eastAsia="zh-CN"/>
        </w:rPr>
        <w:t xml:space="preserve"> （三）人才保障：高校</w:t>
      </w:r>
      <w:r>
        <w:rPr>
          <w:rFonts w:hint="eastAsia" w:ascii="仿宋_GB2312" w:hAnsi="仿宋_GB2312" w:eastAsia="仿宋_GB2312" w:cs="仿宋_GB2312"/>
          <w:sz w:val="32"/>
          <w:szCs w:val="32"/>
        </w:rPr>
        <w:t>可以结合实际情况对参与智库研究的教师在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职称评审、绩效考核</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等方面给予倾斜</w:t>
      </w:r>
      <w:r>
        <w:rPr>
          <w:rFonts w:hint="eastAsia" w:ascii="仿宋_GB2312" w:hAnsi="仿宋_GB2312" w:eastAsia="仿宋_GB2312" w:cs="仿宋_GB2312"/>
          <w:sz w:val="32"/>
          <w:szCs w:val="32"/>
          <w:lang w:val="en-US" w:eastAsia="zh-CN"/>
        </w:rPr>
        <w:t>。</w:t>
      </w:r>
    </w:p>
    <w:p w14:paraId="1DC66B8A">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textAlignment w:val="auto"/>
        <w:outlineLvl w:val="9"/>
        <w:rPr>
          <w:rFonts w:hint="eastAsia" w:ascii="黑体" w:hAnsi="黑体" w:eastAsia="黑体" w:cs="黑体"/>
          <w:sz w:val="32"/>
          <w:szCs w:val="32"/>
        </w:rPr>
      </w:pPr>
      <w:r>
        <w:rPr>
          <w:rFonts w:hint="eastAsia" w:ascii="仿宋_GB2312" w:hAnsi="仿宋_GB2312" w:eastAsia="仿宋_GB2312" w:cs="仿宋_GB2312"/>
          <w:sz w:val="32"/>
          <w:szCs w:val="32"/>
          <w:lang w:val="en-US" w:eastAsia="zh-CN"/>
        </w:rPr>
        <w:t xml:space="preserve">    </w:t>
      </w:r>
      <w:r>
        <w:rPr>
          <w:rFonts w:hint="eastAsia" w:ascii="黑体" w:hAnsi="黑体" w:eastAsia="黑体" w:cs="黑体"/>
          <w:sz w:val="32"/>
          <w:szCs w:val="32"/>
          <w:lang w:val="en-US" w:eastAsia="zh-CN"/>
        </w:rPr>
        <w:t>五、</w:t>
      </w:r>
      <w:r>
        <w:rPr>
          <w:rFonts w:hint="eastAsia" w:ascii="黑体" w:hAnsi="黑体" w:eastAsia="黑体" w:cs="黑体"/>
          <w:sz w:val="32"/>
          <w:szCs w:val="32"/>
        </w:rPr>
        <w:t>风险防控</w:t>
      </w:r>
    </w:p>
    <w:p w14:paraId="7CC39621">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楷体_GB2312" w:hAnsi="楷体_GB2312" w:eastAsia="楷体_GB2312" w:cs="楷体_GB2312"/>
          <w:sz w:val="32"/>
          <w:szCs w:val="32"/>
          <w:lang w:val="en-US" w:eastAsia="zh-CN"/>
        </w:rPr>
        <w:t>（一）科研诚信：</w:t>
      </w:r>
      <w:r>
        <w:rPr>
          <w:rFonts w:hint="eastAsia" w:ascii="仿宋_GB2312" w:hAnsi="仿宋_GB2312" w:eastAsia="仿宋_GB2312" w:cs="仿宋_GB2312"/>
          <w:sz w:val="32"/>
          <w:szCs w:val="32"/>
        </w:rPr>
        <w:t>实行科研承诺制度，落实科研诚信主体责任，加强科研作风和学风建设，严肃查处科研失信行为，实行</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一票否决</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w:t>
      </w:r>
    </w:p>
    <w:p w14:paraId="347F9F4E">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楷体_GB2312" w:hAnsi="楷体_GB2312" w:eastAsia="楷体_GB2312" w:cs="楷体_GB2312"/>
          <w:sz w:val="32"/>
          <w:szCs w:val="32"/>
          <w:lang w:val="en-US" w:eastAsia="zh-CN"/>
        </w:rPr>
        <w:t>（二）保密管理：</w:t>
      </w:r>
      <w:r>
        <w:rPr>
          <w:rFonts w:hint="eastAsia" w:ascii="仿宋_GB2312" w:hAnsi="仿宋_GB2312" w:eastAsia="仿宋_GB2312" w:cs="仿宋_GB2312"/>
          <w:sz w:val="32"/>
          <w:szCs w:val="32"/>
        </w:rPr>
        <w:t>加强涉密课题管理，与专家签订保密协议</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建立健全数据安全管理制度，防范数据泄露风险。</w:t>
      </w:r>
    </w:p>
    <w:p w14:paraId="5847624B">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lang w:val="en-US" w:eastAsia="zh-CN"/>
        </w:rPr>
        <w:t>（三）意识形态：</w:t>
      </w:r>
      <w:r>
        <w:rPr>
          <w:rFonts w:hint="eastAsia" w:ascii="仿宋_GB2312" w:hAnsi="仿宋_GB2312" w:eastAsia="仿宋_GB2312" w:cs="仿宋_GB2312"/>
          <w:sz w:val="32"/>
          <w:szCs w:val="32"/>
        </w:rPr>
        <w:t>坚持正确政治方向，加强研究成果政治审核</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引导专家自觉践行社会主义核心价值观，恪守学术道德和职业规范。</w:t>
      </w:r>
    </w:p>
    <w:p w14:paraId="3E68DA7B">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p>
    <w:p w14:paraId="668B4E52">
      <w:pPr>
        <w:ind w:firstLine="680"/>
        <w:rPr>
          <w:rFonts w:ascii="仿宋" w:hAnsi="仿宋" w:eastAsia="仿宋" w:cs="仿宋"/>
          <w:szCs w:val="32"/>
        </w:rPr>
      </w:pPr>
    </w:p>
    <w:bookmarkEnd w:id="3"/>
    <w:p w14:paraId="4F7B25E7">
      <w:pPr>
        <w:ind w:firstLine="680"/>
        <w:rPr>
          <w:rFonts w:ascii="仿宋" w:hAnsi="仿宋" w:eastAsia="仿宋" w:cs="仿宋"/>
          <w:szCs w:val="32"/>
        </w:rPr>
      </w:pPr>
    </w:p>
    <w:p w14:paraId="3DAECF3A">
      <w:pPr>
        <w:rPr>
          <w:rFonts w:ascii="仿宋" w:hAnsi="仿宋" w:eastAsia="仿宋" w:cs="仿宋"/>
          <w:szCs w:val="32"/>
        </w:rPr>
      </w:pPr>
    </w:p>
    <w:p w14:paraId="5C3742DB">
      <w:pPr>
        <w:tabs>
          <w:tab w:val="left" w:pos="5742"/>
        </w:tabs>
        <w:jc w:val="left"/>
        <w:rPr>
          <w:rFonts w:ascii="仿宋" w:hAnsi="仿宋" w:eastAsia="仿宋" w:cs="仿宋"/>
          <w:szCs w:val="32"/>
        </w:rPr>
      </w:pPr>
    </w:p>
    <w:p w14:paraId="36BB7000">
      <w:pPr>
        <w:rPr>
          <w:rFonts w:ascii="仿宋" w:hAnsi="仿宋" w:eastAsia="仿宋" w:cs="仿宋"/>
          <w:szCs w:val="32"/>
        </w:rPr>
      </w:pPr>
    </w:p>
    <w:p w14:paraId="38C27174">
      <w:pPr>
        <w:rPr>
          <w:rFonts w:ascii="仿宋" w:hAnsi="仿宋" w:eastAsia="仿宋" w:cs="仿宋"/>
          <w:szCs w:val="32"/>
        </w:rPr>
      </w:pPr>
    </w:p>
    <w:p w14:paraId="12C16E53">
      <w:pPr>
        <w:rPr>
          <w:rFonts w:ascii="仿宋" w:hAnsi="仿宋" w:eastAsia="仿宋" w:cs="仿宋"/>
          <w:szCs w:val="32"/>
        </w:rPr>
      </w:pPr>
    </w:p>
    <w:p w14:paraId="2D742415">
      <w:pPr>
        <w:rPr>
          <w:rFonts w:ascii="仿宋" w:hAnsi="仿宋" w:eastAsia="仿宋" w:cs="仿宋"/>
          <w:szCs w:val="32"/>
        </w:rPr>
      </w:pPr>
    </w:p>
    <w:p w14:paraId="5310836A">
      <w:pPr>
        <w:tabs>
          <w:tab w:val="left" w:pos="2397"/>
        </w:tabs>
        <w:jc w:val="left"/>
        <w:rPr>
          <w:rFonts w:ascii="仿宋" w:hAnsi="仿宋" w:eastAsia="仿宋" w:cs="仿宋"/>
          <w:szCs w:val="32"/>
        </w:rPr>
      </w:pPr>
      <w:r>
        <w:rPr>
          <w:rFonts w:hint="eastAsia" w:ascii="仿宋" w:hAnsi="仿宋" w:eastAsia="仿宋" w:cs="仿宋"/>
          <w:szCs w:val="32"/>
        </w:rPr>
        <w:tab/>
      </w:r>
    </w:p>
    <w:p w14:paraId="33F462CF">
      <w:pPr>
        <w:rPr>
          <w:rFonts w:ascii="仿宋" w:hAnsi="仿宋" w:eastAsia="仿宋" w:cs="仿宋"/>
          <w:szCs w:val="32"/>
        </w:rPr>
      </w:pPr>
    </w:p>
    <w:p w14:paraId="680153C0">
      <w:pPr>
        <w:jc w:val="left"/>
      </w:pPr>
    </w:p>
    <w:p w14:paraId="43EA4F63">
      <w:pPr>
        <w:jc w:val="left"/>
      </w:pPr>
    </w:p>
    <w:p w14:paraId="0B74EADC">
      <w:pPr>
        <w:jc w:val="left"/>
      </w:pPr>
    </w:p>
    <w:p w14:paraId="05CBBED3">
      <w:pPr>
        <w:jc w:val="left"/>
      </w:pPr>
      <w:r>
        <w:rPr>
          <w:rFonts w:ascii="仿宋" w:hAnsi="仿宋" w:eastAsia="仿宋" w:cs="仿宋"/>
          <w:szCs w:val="32"/>
        </w:rPr>
        <w:pict>
          <v:shape id="_x0000_s2135" o:spid="_x0000_s2135" o:spt="75" alt="http://portal.fj.cegn.cn:8081/lw-zwbg-cloud//core/upload/2026/06/16/20260616055125535.bmp" type="#_x0000_t75" style="position:absolute;left:0pt;margin-left:286.05pt;margin-top:644pt;height:36pt;width:145pt;mso-position-horizontal-relative:margin;mso-position-vertical-relative:margin;z-index:251667456;mso-width-relative:page;mso-height-relative:page;" filled="f" o:preferrelative="t" stroked="f" coordsize="21600,21600">
            <v:path/>
            <v:fill on="f" focussize="0,0"/>
            <v:stroke on="f"/>
            <v:imagedata r:id="rId8" r:href="rId9" o:title=""/>
            <o:lock v:ext="edit" aspectratio="f"/>
          </v:shape>
        </w:pict>
      </w:r>
      <w:r>
        <w:rPr>
          <w:rFonts w:hint="eastAsia"/>
        </w:rPr>
        <mc:AlternateContent>
          <mc:Choice Requires="wps">
            <w:drawing>
              <wp:anchor distT="0" distB="0" distL="114300" distR="114300" simplePos="0" relativeHeight="251665408" behindDoc="0" locked="0" layoutInCell="1" allowOverlap="1">
                <wp:simplePos x="0" y="0"/>
                <wp:positionH relativeFrom="margin">
                  <wp:posOffset>-53975</wp:posOffset>
                </wp:positionH>
                <wp:positionV relativeFrom="page">
                  <wp:posOffset>8996045</wp:posOffset>
                </wp:positionV>
                <wp:extent cx="5676900" cy="426720"/>
                <wp:effectExtent l="0" t="0" r="0" b="0"/>
                <wp:wrapTopAndBottom/>
                <wp:docPr id="4" name="CopySendText"/>
                <wp:cNvGraphicFramePr/>
                <a:graphic xmlns:a="http://schemas.openxmlformats.org/drawingml/2006/main">
                  <a:graphicData uri="http://schemas.microsoft.com/office/word/2010/wordprocessingShape">
                    <wps:wsp>
                      <wps:cNvSpPr txBox="1"/>
                      <wps:spPr>
                        <a:xfrm>
                          <a:off x="0" y="0"/>
                          <a:ext cx="5676900" cy="426720"/>
                        </a:xfrm>
                        <a:prstGeom prst="rect">
                          <a:avLst/>
                        </a:prstGeom>
                        <a:noFill/>
                        <a:ln>
                          <a:noFill/>
                        </a:ln>
                      </wps:spPr>
                      <wps:txbx>
                        <w:txbxContent>
                          <w:p w14:paraId="2D7F39DF">
                            <w:pPr>
                              <w:pStyle w:val="16"/>
                              <w:spacing w:line="600" w:lineRule="exact"/>
                              <w:ind w:firstLine="0"/>
                              <w:rPr>
                                <w:rFonts w:ascii="仿宋" w:hAnsi="仿宋" w:eastAsia="仿宋" w:cs="仿宋"/>
                                <w:color w:val="000000"/>
                                <w:sz w:val="28"/>
                                <w:szCs w:val="28"/>
                                <w:lang w:eastAsia="zh-CN"/>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 xml:space="preserve">福建省科学技术厅办公室   </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 xml:space="preserve"> </w:t>
                            </w:r>
                            <w:r>
                              <w:rPr>
                                <w:rFonts w:hint="eastAsia" w:ascii="仿宋" w:hAnsi="仿宋" w:eastAsia="仿宋" w:cs="仿宋"/>
                                <w:color w:val="000000"/>
                                <w:sz w:val="28"/>
                                <w:szCs w:val="28"/>
                                <w:lang w:val="en" w:eastAsia="zh-CN"/>
                              </w:rPr>
                              <w:t xml:space="preserve"> </w:t>
                            </w:r>
                            <w:r>
                              <w:rPr>
                                <w:rFonts w:hint="eastAsia" w:ascii="仿宋" w:hAnsi="仿宋" w:eastAsia="仿宋" w:cs="仿宋"/>
                                <w:color w:val="000000"/>
                                <w:sz w:val="28"/>
                                <w:szCs w:val="28"/>
                                <w:lang w:val="en-US" w:eastAsia="zh-CN"/>
                              </w:rPr>
                              <w:t xml:space="preserve">      </w:t>
                            </w:r>
                            <w:bookmarkStart w:id="5" w:name="draftingdate"/>
                            <w:r>
                              <w:rPr>
                                <w:rFonts w:hint="eastAsia" w:ascii="仿宋" w:hAnsi="仿宋" w:eastAsia="仿宋" w:cs="仿宋"/>
                                <w:color w:val="000000"/>
                                <w:sz w:val="28"/>
                                <w:szCs w:val="28"/>
                                <w:lang w:val="en" w:eastAsia="zh-CN"/>
                              </w:rPr>
                              <w:t>2026年</w:t>
                            </w:r>
                            <w:r>
                              <w:rPr>
                                <w:rFonts w:hint="eastAsia" w:ascii="仿宋" w:hAnsi="仿宋" w:eastAsia="仿宋" w:cs="仿宋"/>
                                <w:color w:val="000000"/>
                                <w:sz w:val="28"/>
                                <w:szCs w:val="28"/>
                                <w:lang w:val="en-US" w:eastAsia="zh-CN"/>
                              </w:rPr>
                              <w:t>6</w:t>
                            </w:r>
                            <w:r>
                              <w:rPr>
                                <w:rFonts w:hint="eastAsia" w:ascii="仿宋" w:hAnsi="仿宋" w:eastAsia="仿宋" w:cs="仿宋"/>
                                <w:color w:val="000000"/>
                                <w:sz w:val="28"/>
                                <w:szCs w:val="28"/>
                                <w:lang w:val="en" w:eastAsia="zh-CN"/>
                              </w:rPr>
                              <w:t>月</w:t>
                            </w:r>
                            <w:r>
                              <w:rPr>
                                <w:rFonts w:hint="eastAsia" w:ascii="仿宋" w:hAnsi="仿宋" w:eastAsia="仿宋" w:cs="仿宋"/>
                                <w:color w:val="000000"/>
                                <w:sz w:val="28"/>
                                <w:szCs w:val="28"/>
                                <w:lang w:val="en-US" w:eastAsia="zh-CN"/>
                              </w:rPr>
                              <w:t>16</w:t>
                            </w:r>
                            <w:r>
                              <w:rPr>
                                <w:rFonts w:hint="eastAsia" w:ascii="仿宋" w:hAnsi="仿宋" w:eastAsia="仿宋" w:cs="仿宋"/>
                                <w:color w:val="000000"/>
                                <w:sz w:val="28"/>
                                <w:szCs w:val="28"/>
                                <w:lang w:val="en" w:eastAsia="zh-CN"/>
                              </w:rPr>
                              <w:t>日</w:t>
                            </w:r>
                            <w:bookmarkEnd w:id="5"/>
                            <w:r>
                              <w:rPr>
                                <w:rFonts w:hint="eastAsia" w:ascii="仿宋" w:hAnsi="仿宋" w:eastAsia="仿宋" w:cs="仿宋"/>
                                <w:color w:val="000000"/>
                                <w:sz w:val="28"/>
                                <w:szCs w:val="28"/>
                                <w:lang w:eastAsia="zh-CN"/>
                              </w:rPr>
                              <w:t>印发</w:t>
                            </w:r>
                          </w:p>
                          <w:p w14:paraId="38CE9912">
                            <w:pPr>
                              <w:pStyle w:val="16"/>
                              <w:spacing w:line="600" w:lineRule="exact"/>
                              <w:ind w:firstLine="0"/>
                              <w:rPr>
                                <w:rFonts w:ascii="仿宋" w:hAnsi="仿宋" w:eastAsia="仿宋" w:cs="仿宋"/>
                                <w:color w:val="000000"/>
                                <w:lang w:val="en-US" w:eastAsia="zh-CN"/>
                              </w:rPr>
                            </w:pPr>
                            <w:r>
                              <w:rPr>
                                <w:rFonts w:hint="eastAsia" w:ascii="仿宋" w:hAnsi="仿宋" w:eastAsia="仿宋" w:cs="仿宋"/>
                                <w:color w:val="000000"/>
                                <w:lang w:val="en-US" w:eastAsia="zh-CN"/>
                              </w:rPr>
                              <w:t xml:space="preserve">                                                                                                                                                                                                                                                                                                                                                                                                                                                                                                                                                                                                                                                                                                                                                                                                                                                                                                                                                                                                                                                                                                                                                                                                                                                                                                                                                                                                       </w:t>
                            </w:r>
                          </w:p>
                          <w:p w14:paraId="4821FE34">
                            <w:pPr>
                              <w:ind w:firstLine="320" w:firstLineChars="100"/>
                              <w:rPr>
                                <w:rFonts w:ascii="方正仿宋_GBK" w:hAnsi="方正仿宋_GBK" w:eastAsia="方正仿宋_GBK" w:cs="方正仿宋_GBK"/>
                              </w:rPr>
                            </w:pPr>
                          </w:p>
                        </w:txbxContent>
                      </wps:txbx>
                      <wps:bodyPr wrap="square" lIns="0" tIns="0" rIns="0" bIns="0" upright="1"/>
                    </wps:wsp>
                  </a:graphicData>
                </a:graphic>
              </wp:anchor>
            </w:drawing>
          </mc:Choice>
          <mc:Fallback>
            <w:pict>
              <v:shape id="CopySendText" o:spid="_x0000_s1026" o:spt="202" type="#_x0000_t202" style="position:absolute;left:0pt;margin-left:-4.25pt;margin-top:708.35pt;height:33.6pt;width:447pt;mso-position-horizontal-relative:margin;mso-position-vertical-relative:page;mso-wrap-distance-bottom:0pt;mso-wrap-distance-top:0pt;z-index:251665408;mso-width-relative:page;mso-height-relative:page;" filled="f" stroked="f" coordsize="21600,21600" o:gfxdata="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N8H2NbaAAAADAEAAA8AAAAAAAAAAQAgAAAAIgAAAGRycy9kb3ducmV2LnhtbFBLAQIU&#10;ABQAAAAIAIdO4kBF8bcLuAEAAIEDAAAOAAAAAAAAAAEAIAAAACkBAABkcnMvZTJvRG9jLnhtbFBL&#10;BQYAAAAABgAGAFkBAABTBQAAAAA=&#10;">
                <v:fill on="f" focussize="0,0"/>
                <v:stroke on="f"/>
                <v:imagedata o:title=""/>
                <o:lock v:ext="edit" aspectratio="f"/>
                <v:textbox inset="0mm,0mm,0mm,0mm">
                  <w:txbxContent>
                    <w:p w14:paraId="2D7F39DF">
                      <w:pPr>
                        <w:pStyle w:val="16"/>
                        <w:spacing w:line="600" w:lineRule="exact"/>
                        <w:ind w:firstLine="0"/>
                        <w:rPr>
                          <w:rFonts w:ascii="仿宋" w:hAnsi="仿宋" w:eastAsia="仿宋" w:cs="仿宋"/>
                          <w:color w:val="000000"/>
                          <w:sz w:val="28"/>
                          <w:szCs w:val="28"/>
                          <w:lang w:eastAsia="zh-CN"/>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 xml:space="preserve">福建省科学技术厅办公室   </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 xml:space="preserve"> </w:t>
                      </w:r>
                      <w:r>
                        <w:rPr>
                          <w:rFonts w:hint="eastAsia" w:ascii="仿宋" w:hAnsi="仿宋" w:eastAsia="仿宋" w:cs="仿宋"/>
                          <w:color w:val="000000"/>
                          <w:sz w:val="28"/>
                          <w:szCs w:val="28"/>
                          <w:lang w:val="en" w:eastAsia="zh-CN"/>
                        </w:rPr>
                        <w:t xml:space="preserve"> </w:t>
                      </w:r>
                      <w:r>
                        <w:rPr>
                          <w:rFonts w:hint="eastAsia" w:ascii="仿宋" w:hAnsi="仿宋" w:eastAsia="仿宋" w:cs="仿宋"/>
                          <w:color w:val="000000"/>
                          <w:sz w:val="28"/>
                          <w:szCs w:val="28"/>
                          <w:lang w:val="en-US" w:eastAsia="zh-CN"/>
                        </w:rPr>
                        <w:t xml:space="preserve">      </w:t>
                      </w:r>
                      <w:bookmarkStart w:id="5" w:name="draftingdate"/>
                      <w:r>
                        <w:rPr>
                          <w:rFonts w:hint="eastAsia" w:ascii="仿宋" w:hAnsi="仿宋" w:eastAsia="仿宋" w:cs="仿宋"/>
                          <w:color w:val="000000"/>
                          <w:sz w:val="28"/>
                          <w:szCs w:val="28"/>
                          <w:lang w:val="en" w:eastAsia="zh-CN"/>
                        </w:rPr>
                        <w:t>2026年</w:t>
                      </w:r>
                      <w:r>
                        <w:rPr>
                          <w:rFonts w:hint="eastAsia" w:ascii="仿宋" w:hAnsi="仿宋" w:eastAsia="仿宋" w:cs="仿宋"/>
                          <w:color w:val="000000"/>
                          <w:sz w:val="28"/>
                          <w:szCs w:val="28"/>
                          <w:lang w:val="en-US" w:eastAsia="zh-CN"/>
                        </w:rPr>
                        <w:t>6</w:t>
                      </w:r>
                      <w:r>
                        <w:rPr>
                          <w:rFonts w:hint="eastAsia" w:ascii="仿宋" w:hAnsi="仿宋" w:eastAsia="仿宋" w:cs="仿宋"/>
                          <w:color w:val="000000"/>
                          <w:sz w:val="28"/>
                          <w:szCs w:val="28"/>
                          <w:lang w:val="en" w:eastAsia="zh-CN"/>
                        </w:rPr>
                        <w:t>月</w:t>
                      </w:r>
                      <w:r>
                        <w:rPr>
                          <w:rFonts w:hint="eastAsia" w:ascii="仿宋" w:hAnsi="仿宋" w:eastAsia="仿宋" w:cs="仿宋"/>
                          <w:color w:val="000000"/>
                          <w:sz w:val="28"/>
                          <w:szCs w:val="28"/>
                          <w:lang w:val="en-US" w:eastAsia="zh-CN"/>
                        </w:rPr>
                        <w:t>16</w:t>
                      </w:r>
                      <w:r>
                        <w:rPr>
                          <w:rFonts w:hint="eastAsia" w:ascii="仿宋" w:hAnsi="仿宋" w:eastAsia="仿宋" w:cs="仿宋"/>
                          <w:color w:val="000000"/>
                          <w:sz w:val="28"/>
                          <w:szCs w:val="28"/>
                          <w:lang w:val="en" w:eastAsia="zh-CN"/>
                        </w:rPr>
                        <w:t>日</w:t>
                      </w:r>
                      <w:bookmarkEnd w:id="5"/>
                      <w:r>
                        <w:rPr>
                          <w:rFonts w:hint="eastAsia" w:ascii="仿宋" w:hAnsi="仿宋" w:eastAsia="仿宋" w:cs="仿宋"/>
                          <w:color w:val="000000"/>
                          <w:sz w:val="28"/>
                          <w:szCs w:val="28"/>
                          <w:lang w:eastAsia="zh-CN"/>
                        </w:rPr>
                        <w:t>印发</w:t>
                      </w:r>
                    </w:p>
                    <w:p w14:paraId="38CE9912">
                      <w:pPr>
                        <w:pStyle w:val="16"/>
                        <w:spacing w:line="600" w:lineRule="exact"/>
                        <w:ind w:firstLine="0"/>
                        <w:rPr>
                          <w:rFonts w:ascii="仿宋" w:hAnsi="仿宋" w:eastAsia="仿宋" w:cs="仿宋"/>
                          <w:color w:val="000000"/>
                          <w:lang w:val="en-US" w:eastAsia="zh-CN"/>
                        </w:rPr>
                      </w:pPr>
                      <w:r>
                        <w:rPr>
                          <w:rFonts w:hint="eastAsia" w:ascii="仿宋" w:hAnsi="仿宋" w:eastAsia="仿宋" w:cs="仿宋"/>
                          <w:color w:val="000000"/>
                          <w:lang w:val="en-US" w:eastAsia="zh-CN"/>
                        </w:rPr>
                        <w:t xml:space="preserve">                                                                                                                                                                                                                                                                                                                                                                                                                                                                                                                                                                                                                                                                                                                                                                                                                                                                                                                                                                                                                                                                                                                                                                                                                                                                                                                                                                                                       </w:t>
                      </w:r>
                    </w:p>
                    <w:p w14:paraId="4821FE34">
                      <w:pPr>
                        <w:ind w:firstLine="320" w:firstLineChars="100"/>
                        <w:rPr>
                          <w:rFonts w:ascii="方正仿宋_GBK" w:hAnsi="方正仿宋_GBK" w:eastAsia="方正仿宋_GBK" w:cs="方正仿宋_GBK"/>
                        </w:rPr>
                      </w:pPr>
                    </w:p>
                  </w:txbxContent>
                </v:textbox>
                <w10:wrap type="topAndBottom"/>
              </v:shape>
            </w:pict>
          </mc:Fallback>
        </mc:AlternateContent>
      </w:r>
      <w:r>
        <w:rPr>
          <w:rFonts w:hint="eastAsia" w:ascii="仿宋" w:hAnsi="仿宋" w:eastAsia="仿宋" w:cs="仿宋"/>
          <w:szCs w:val="32"/>
        </w:rPr>
        <mc:AlternateContent>
          <mc:Choice Requires="wps">
            <w:drawing>
              <wp:anchor distT="0" distB="0" distL="114300" distR="114300" simplePos="0" relativeHeight="251664384" behindDoc="0" locked="0" layoutInCell="1" allowOverlap="1">
                <wp:simplePos x="0" y="0"/>
                <wp:positionH relativeFrom="column">
                  <wp:posOffset>14605</wp:posOffset>
                </wp:positionH>
                <wp:positionV relativeFrom="page">
                  <wp:posOffset>9033510</wp:posOffset>
                </wp:positionV>
                <wp:extent cx="5584190" cy="3810"/>
                <wp:effectExtent l="0" t="0" r="0" b="0"/>
                <wp:wrapTopAndBottom/>
                <wp:docPr id="15" name="KeywordLine"/>
                <wp:cNvGraphicFramePr/>
                <a:graphic xmlns:a="http://schemas.openxmlformats.org/drawingml/2006/main">
                  <a:graphicData uri="http://schemas.microsoft.com/office/word/2010/wordprocessingShape">
                    <wps:wsp>
                      <wps:cNvCnPr/>
                      <wps:spPr>
                        <a:xfrm flipV="1">
                          <a:off x="0" y="0"/>
                          <a:ext cx="5584190" cy="3810"/>
                        </a:xfrm>
                        <a:prstGeom prst="line">
                          <a:avLst/>
                        </a:prstGeom>
                        <a:ln w="4445" cap="flat" cmpd="sng">
                          <a:solidFill>
                            <a:srgbClr val="000000"/>
                          </a:solidFill>
                          <a:prstDash val="solid"/>
                          <a:headEnd type="none" w="med" len="med"/>
                          <a:tailEnd type="none" w="med" len="med"/>
                        </a:ln>
                      </wps:spPr>
                      <wps:bodyPr/>
                    </wps:wsp>
                  </a:graphicData>
                </a:graphic>
              </wp:anchor>
            </w:drawing>
          </mc:Choice>
          <mc:Fallback>
            <w:pict>
              <v:line id="KeywordLine" o:spid="_x0000_s1026" o:spt="20" style="position:absolute;left:0pt;flip:y;margin-left:1.15pt;margin-top:711.3pt;height:0.3pt;width:439.7pt;mso-position-vertical-relative:page;mso-wrap-distance-bottom:0pt;mso-wrap-distance-top:0pt;z-index:251664384;mso-width-relative:page;mso-height-relative:page;" filled="f" stroked="t" coordsize="21600,21600" o:gfxdata="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AFVYod1gAAAAsBAAAP&#10;AAAAAAAAAAEAIAAAACIAAABkcnMvZG93bnJldi54bWxQSwECFAAUAAAACACHTuJAEknUk+EBAADg&#10;AwAADgAAAAAAAAABACAAAAAlAQAAZHJzL2Uyb0RvYy54bWxQSwUGAAAAAAYABgBZAQAAeAUAAAAA&#10;">
                <v:fill on="f" focussize="0,0"/>
                <v:stroke weight="0.35pt" color="#000000" joinstyle="round"/>
                <v:imagedata o:title=""/>
                <o:lock v:ext="edit" aspectratio="f"/>
                <w10:wrap type="topAndBottom"/>
              </v:line>
            </w:pict>
          </mc:Fallback>
        </mc:AlternateContent>
      </w:r>
      <w:r>
        <w:rPr>
          <w:rFonts w:hint="eastAsia" w:ascii="仿宋" w:hAnsi="仿宋" w:eastAsia="仿宋" w:cs="仿宋"/>
          <w:szCs w:val="32"/>
        </w:rPr>
        <mc:AlternateContent>
          <mc:Choice Requires="wps">
            <w:drawing>
              <wp:anchor distT="0" distB="0" distL="114300" distR="114300" simplePos="0" relativeHeight="251660288" behindDoc="0" locked="0" layoutInCell="1" allowOverlap="1">
                <wp:simplePos x="0" y="0"/>
                <wp:positionH relativeFrom="column">
                  <wp:posOffset>5080</wp:posOffset>
                </wp:positionH>
                <wp:positionV relativeFrom="page">
                  <wp:posOffset>9424670</wp:posOffset>
                </wp:positionV>
                <wp:extent cx="5612130" cy="0"/>
                <wp:effectExtent l="0" t="0" r="0" b="0"/>
                <wp:wrapTopAndBottom/>
                <wp:docPr id="2" name="KeywordLine"/>
                <wp:cNvGraphicFramePr/>
                <a:graphic xmlns:a="http://schemas.openxmlformats.org/drawingml/2006/main">
                  <a:graphicData uri="http://schemas.microsoft.com/office/word/2010/wordprocessingShape">
                    <wps:wsp>
                      <wps:cNvCnPr/>
                      <wps:spPr>
                        <a:xfrm>
                          <a:off x="0" y="0"/>
                          <a:ext cx="5612130" cy="0"/>
                        </a:xfrm>
                        <a:prstGeom prst="line">
                          <a:avLst/>
                        </a:prstGeom>
                        <a:ln w="4445" cap="flat" cmpd="sng">
                          <a:solidFill>
                            <a:srgbClr val="000000"/>
                          </a:solidFill>
                          <a:prstDash val="solid"/>
                          <a:headEnd type="none" w="med" len="med"/>
                          <a:tailEnd type="none" w="med" len="med"/>
                        </a:ln>
                      </wps:spPr>
                      <wps:bodyPr/>
                    </wps:wsp>
                  </a:graphicData>
                </a:graphic>
              </wp:anchor>
            </w:drawing>
          </mc:Choice>
          <mc:Fallback>
            <w:pict>
              <v:line id="KeywordLine" o:spid="_x0000_s1026" o:spt="20" style="position:absolute;left:0pt;margin-left:0.4pt;margin-top:742.1pt;height:0pt;width:441.9pt;mso-position-vertical-relative:page;mso-wrap-distance-bottom:0pt;mso-wrap-distance-top:0pt;z-index:251660288;mso-width-relative:page;mso-height-relative:page;" filled="f" stroked="t" coordsize="21600,21600" o:gfxdata="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a1K709YAAAAKAQAADwAAAAAAAAABACAA&#10;AAAiAAAAZHJzL2Rvd25yZXYueG1sUEsBAhQAFAAAAAgAh07iQHtAf1jWAQAA0gMAAA4AAAAAAAAA&#10;AQAgAAAAJQEAAGRycy9lMm9Eb2MueG1sUEsFBgAAAAAGAAYAWQEAAG0FAAAAAA==&#10;">
                <v:fill on="f" focussize="0,0"/>
                <v:stroke weight="0.35pt" color="#000000" joinstyle="round"/>
                <v:imagedata o:title=""/>
                <o:lock v:ext="edit" aspectratio="f"/>
                <w10:wrap type="topAndBottom"/>
              </v:line>
            </w:pict>
          </mc:Fallback>
        </mc:AlternateContent>
      </w:r>
    </w:p>
    <w:sectPr>
      <w:pgSz w:w="11906" w:h="16838"/>
      <w:pgMar w:top="2098" w:right="1531" w:bottom="1984" w:left="1531" w:header="851" w:footer="1417" w:gutter="0"/>
      <w:pgNumType w:fmt="decimal"/>
      <w:cols w:space="0" w:num="1"/>
      <w:titlePg/>
      <w:docGrid w:type="linesAndChars" w:linePitch="579" w:charSpace="3686"/>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Arial">
    <w:altName w:val="DejaVu Sans"/>
    <w:panose1 w:val="00000000000000000000"/>
    <w:charset w:val="00"/>
    <w:family w:val="auto"/>
    <w:pitch w:val="default"/>
    <w:sig w:usb0="00000000" w:usb1="00000000" w:usb2="00000000" w:usb3="00000000" w:csb0="00000000" w:csb1="00000000"/>
  </w:font>
  <w:font w:name="MathJax_Vector">
    <w:panose1 w:val="02000603000000000000"/>
    <w:charset w:val="00"/>
    <w:family w:val="auto"/>
    <w:pitch w:val="default"/>
    <w:sig w:usb0="00000001" w:usb1="0000002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C88E78">
    <w:pPr>
      <w:pStyle w:val="6"/>
      <w:jc w:val="center"/>
      <w:rPr>
        <w:sz w:val="28"/>
      </w:rPr>
    </w:pPr>
    <w:r>
      <w:rPr>
        <w:sz w:val="1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85DDDF4">
                          <w:pPr>
                            <w:pStyle w:val="6"/>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 xml:space="preserve">— </w:t>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2</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185DDDF4">
                    <w:pPr>
                      <w:pStyle w:val="6"/>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 xml:space="preserve">— </w:t>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2</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t xml:space="preserve"> —</w:t>
                    </w:r>
                  </w:p>
                </w:txbxContent>
              </v:textbox>
            </v:shape>
          </w:pict>
        </mc:Fallback>
      </mc:AlternateContent>
    </w:r>
    <w:r>
      <mc:AlternateContent>
        <mc:Choice Requires="wps">
          <w:drawing>
            <wp:anchor distT="0" distB="0" distL="114300" distR="114300" simplePos="0" relativeHeight="251661312" behindDoc="0" locked="0" layoutInCell="1" allowOverlap="1">
              <wp:simplePos x="0" y="0"/>
              <wp:positionH relativeFrom="margin">
                <wp:posOffset>127000</wp:posOffset>
              </wp:positionH>
              <wp:positionV relativeFrom="paragraph">
                <wp:posOffset>-3810</wp:posOffset>
              </wp:positionV>
              <wp:extent cx="1062990" cy="20193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062990" cy="20193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C758ECF">
                          <w:pPr>
                            <w:snapToGrid w:val="0"/>
                            <w:rPr>
                              <w:sz w:val="28"/>
                              <w:szCs w:val="28"/>
                            </w:rPr>
                          </w:pP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left:10pt;margin-top:-0.3pt;height:15.9pt;width:83.7pt;mso-position-horizontal-relative:margin;z-index:251661312;mso-width-relative:page;mso-height-relative:page;" filled="f" stroked="f" coordsize="21600,21600" o:gfxdata="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FrS7GrVAAAABwEAAA8AAAAAAAAAAQAgAAAAIgAAAGRycy9kb3ducmV2LnhtbFBLAQIU&#10;ABQAAAAIAIdO4kDI16cwLwIAAFYEAAAOAAAAAAAAAAEAIAAAACQBAABkcnMvZTJvRG9jLnhtbFBL&#10;BQYAAAAABgAGAFkBAADFBQAAAAA=&#10;">
              <v:fill on="f" focussize="0,0"/>
              <v:stroke on="f" weight="0.5pt"/>
              <v:imagedata o:title=""/>
              <o:lock v:ext="edit" aspectratio="f"/>
              <v:textbox inset="0mm,0mm,0mm,0mm">
                <w:txbxContent>
                  <w:p w14:paraId="0C758ECF">
                    <w:pPr>
                      <w:snapToGrid w:val="0"/>
                      <w:rPr>
                        <w:sz w:val="28"/>
                        <w:szCs w:val="28"/>
                      </w:rPr>
                    </w:pPr>
                  </w:p>
                </w:txbxContent>
              </v:textbox>
            </v:shape>
          </w:pict>
        </mc:Fallback>
      </mc:AlternateContent>
    </w:r>
    <w:r>
      <w:rPr>
        <w:sz w:val="28"/>
      </w:rPr>
      <mc:AlternateContent>
        <mc:Choice Requires="wps">
          <w:drawing>
            <wp:anchor distT="0" distB="0" distL="114300" distR="114300" simplePos="0" relativeHeight="251659264" behindDoc="0" locked="0" layoutInCell="1" allowOverlap="1">
              <wp:simplePos x="0" y="0"/>
              <wp:positionH relativeFrom="margin">
                <wp:posOffset>2540</wp:posOffset>
              </wp:positionH>
              <wp:positionV relativeFrom="paragraph">
                <wp:posOffset>381000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7870C23">
                          <w:pPr>
                            <w:snapToGrid w:val="0"/>
                            <w:rPr>
                              <w:sz w:val="18"/>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left:0.2pt;margin-top:30pt;height:144pt;width:144pt;mso-position-horizontal-relative:margin;mso-wrap-style:none;z-index:251659264;mso-width-relative:page;mso-height-relative:page;" filled="f" stroked="f" coordsize="21600,21600" o:gfxdata="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B1GoBQ1AAAAAcBAAAPAAAAAAAAAAEAIAAAACIAAABkcnMvZG93bnJldi54bWxQSwECFAAUAAAA&#10;CACHTuJAmkZxjCsCAABXBAAADgAAAAAAAAABACAAAAAjAQAAZHJzL2Uyb0RvYy54bWxQSwUGAAAA&#10;AAYABgBZAQAAwAUAAAAA&#10;">
              <v:fill on="f" focussize="0,0"/>
              <v:stroke on="f" weight="0.5pt"/>
              <v:imagedata o:title=""/>
              <o:lock v:ext="edit" aspectratio="f"/>
              <v:textbox inset="0mm,0mm,0mm,0mm" style="mso-fit-shape-to-text:t;">
                <w:txbxContent>
                  <w:p w14:paraId="17870C23">
                    <w:pPr>
                      <w:snapToGrid w:val="0"/>
                      <w:rPr>
                        <w:sz w:val="18"/>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590F23">
    <w:pPr>
      <w:pStyle w:val="6"/>
    </w:pPr>
    <w:r>
      <w:rPr>
        <w:sz w:val="18"/>
      </w:rP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8A1BDD4">
                          <w:pPr>
                            <w:pStyle w:val="6"/>
                            <w:rPr>
                              <w:rFonts w:hint="eastAsia" w:asciiTheme="majorEastAsia" w:hAnsiTheme="majorEastAsia" w:eastAsiaTheme="majorEastAsia" w:cstheme="majorEastAsia"/>
                              <w:sz w:val="28"/>
                              <w:szCs w:val="28"/>
                              <w:lang w:val="en"/>
                            </w:rPr>
                          </w:pPr>
                          <w:r>
                            <w:rPr>
                              <w:rFonts w:hint="eastAsia" w:asciiTheme="majorEastAsia" w:hAnsiTheme="majorEastAsia" w:eastAsiaTheme="majorEastAsia" w:cstheme="majorEastAsia"/>
                              <w:sz w:val="28"/>
                              <w:szCs w:val="28"/>
                              <w:lang w:val="en"/>
                            </w:rPr>
                            <w:t xml:space="preserve">— </w:t>
                          </w:r>
                          <w:r>
                            <w:rPr>
                              <w:rFonts w:hint="eastAsia" w:asciiTheme="majorEastAsia" w:hAnsiTheme="majorEastAsia" w:eastAsiaTheme="majorEastAsia" w:cstheme="majorEastAsia"/>
                              <w:sz w:val="28"/>
                              <w:szCs w:val="28"/>
                              <w:lang w:val="en"/>
                            </w:rPr>
                            <w:fldChar w:fldCharType="begin"/>
                          </w:r>
                          <w:r>
                            <w:rPr>
                              <w:rFonts w:hint="eastAsia" w:asciiTheme="majorEastAsia" w:hAnsiTheme="majorEastAsia" w:eastAsiaTheme="majorEastAsia" w:cstheme="majorEastAsia"/>
                              <w:sz w:val="28"/>
                              <w:szCs w:val="28"/>
                              <w:lang w:val="en"/>
                            </w:rPr>
                            <w:instrText xml:space="preserve"> PAGE  \* MERGEFORMAT </w:instrText>
                          </w:r>
                          <w:r>
                            <w:rPr>
                              <w:rFonts w:hint="eastAsia" w:asciiTheme="majorEastAsia" w:hAnsiTheme="majorEastAsia" w:eastAsiaTheme="majorEastAsia" w:cstheme="majorEastAsia"/>
                              <w:sz w:val="28"/>
                              <w:szCs w:val="28"/>
                              <w:lang w:val="en"/>
                            </w:rPr>
                            <w:fldChar w:fldCharType="separate"/>
                          </w:r>
                          <w:r>
                            <w:rPr>
                              <w:rFonts w:hint="eastAsia" w:asciiTheme="majorEastAsia" w:hAnsiTheme="majorEastAsia" w:eastAsiaTheme="majorEastAsia" w:cstheme="majorEastAsia"/>
                              <w:sz w:val="28"/>
                              <w:szCs w:val="28"/>
                              <w:lang w:val="en"/>
                            </w:rPr>
                            <w:t>1</w:t>
                          </w:r>
                          <w:r>
                            <w:rPr>
                              <w:rFonts w:hint="eastAsia" w:asciiTheme="majorEastAsia" w:hAnsiTheme="majorEastAsia" w:eastAsiaTheme="majorEastAsia" w:cstheme="majorEastAsia"/>
                              <w:sz w:val="28"/>
                              <w:szCs w:val="28"/>
                              <w:lang w:val="en"/>
                            </w:rPr>
                            <w:fldChar w:fldCharType="end"/>
                          </w:r>
                          <w:r>
                            <w:rPr>
                              <w:rFonts w:hint="eastAsia" w:asciiTheme="majorEastAsia" w:hAnsiTheme="majorEastAsia" w:eastAsiaTheme="majorEastAsia" w:cstheme="majorEastAsia"/>
                              <w:sz w:val="28"/>
                              <w:szCs w:val="28"/>
                              <w:lang w:val="e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58A1BDD4">
                    <w:pPr>
                      <w:pStyle w:val="6"/>
                      <w:rPr>
                        <w:rFonts w:hint="eastAsia" w:asciiTheme="majorEastAsia" w:hAnsiTheme="majorEastAsia" w:eastAsiaTheme="majorEastAsia" w:cstheme="majorEastAsia"/>
                        <w:sz w:val="28"/>
                        <w:szCs w:val="28"/>
                        <w:lang w:val="en"/>
                      </w:rPr>
                    </w:pPr>
                    <w:r>
                      <w:rPr>
                        <w:rFonts w:hint="eastAsia" w:asciiTheme="majorEastAsia" w:hAnsiTheme="majorEastAsia" w:eastAsiaTheme="majorEastAsia" w:cstheme="majorEastAsia"/>
                        <w:sz w:val="28"/>
                        <w:szCs w:val="28"/>
                        <w:lang w:val="en"/>
                      </w:rPr>
                      <w:t xml:space="preserve">— </w:t>
                    </w:r>
                    <w:r>
                      <w:rPr>
                        <w:rFonts w:hint="eastAsia" w:asciiTheme="majorEastAsia" w:hAnsiTheme="majorEastAsia" w:eastAsiaTheme="majorEastAsia" w:cstheme="majorEastAsia"/>
                        <w:sz w:val="28"/>
                        <w:szCs w:val="28"/>
                        <w:lang w:val="en"/>
                      </w:rPr>
                      <w:fldChar w:fldCharType="begin"/>
                    </w:r>
                    <w:r>
                      <w:rPr>
                        <w:rFonts w:hint="eastAsia" w:asciiTheme="majorEastAsia" w:hAnsiTheme="majorEastAsia" w:eastAsiaTheme="majorEastAsia" w:cstheme="majorEastAsia"/>
                        <w:sz w:val="28"/>
                        <w:szCs w:val="28"/>
                        <w:lang w:val="en"/>
                      </w:rPr>
                      <w:instrText xml:space="preserve"> PAGE  \* MERGEFORMAT </w:instrText>
                    </w:r>
                    <w:r>
                      <w:rPr>
                        <w:rFonts w:hint="eastAsia" w:asciiTheme="majorEastAsia" w:hAnsiTheme="majorEastAsia" w:eastAsiaTheme="majorEastAsia" w:cstheme="majorEastAsia"/>
                        <w:sz w:val="28"/>
                        <w:szCs w:val="28"/>
                        <w:lang w:val="en"/>
                      </w:rPr>
                      <w:fldChar w:fldCharType="separate"/>
                    </w:r>
                    <w:r>
                      <w:rPr>
                        <w:rFonts w:hint="eastAsia" w:asciiTheme="majorEastAsia" w:hAnsiTheme="majorEastAsia" w:eastAsiaTheme="majorEastAsia" w:cstheme="majorEastAsia"/>
                        <w:sz w:val="28"/>
                        <w:szCs w:val="28"/>
                        <w:lang w:val="en"/>
                      </w:rPr>
                      <w:t>1</w:t>
                    </w:r>
                    <w:r>
                      <w:rPr>
                        <w:rFonts w:hint="eastAsia" w:asciiTheme="majorEastAsia" w:hAnsiTheme="majorEastAsia" w:eastAsiaTheme="majorEastAsia" w:cstheme="majorEastAsia"/>
                        <w:sz w:val="28"/>
                        <w:szCs w:val="28"/>
                        <w:lang w:val="en"/>
                      </w:rPr>
                      <w:fldChar w:fldCharType="end"/>
                    </w:r>
                    <w:r>
                      <w:rPr>
                        <w:rFonts w:hint="eastAsia" w:asciiTheme="majorEastAsia" w:hAnsiTheme="majorEastAsia" w:eastAsiaTheme="majorEastAsia" w:cstheme="majorEastAsia"/>
                        <w:sz w:val="28"/>
                        <w:szCs w:val="28"/>
                        <w:lang w:val="en"/>
                      </w:rPr>
                      <w:t xml:space="preserve"> —</w:t>
                    </w:r>
                  </w:p>
                </w:txbxContent>
              </v:textbox>
            </v:shape>
          </w:pict>
        </mc:Fallback>
      </mc:AlternateContent>
    </w:r>
    <w:r>
      <mc:AlternateContent>
        <mc:Choice Requires="wps">
          <w:drawing>
            <wp:anchor distT="0" distB="0" distL="114300" distR="114300" simplePos="0" relativeHeight="251660288" behindDoc="0" locked="0" layoutInCell="1" allowOverlap="1">
              <wp:simplePos x="0" y="0"/>
              <wp:positionH relativeFrom="margin">
                <wp:posOffset>4728210</wp:posOffset>
              </wp:positionH>
              <wp:positionV relativeFrom="paragraph">
                <wp:posOffset>-66675</wp:posOffset>
              </wp:positionV>
              <wp:extent cx="929640" cy="220345"/>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929640" cy="22034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D5CB07">
                          <w:pPr>
                            <w:snapToGrid w:val="0"/>
                            <w:rPr>
                              <w:rFonts w:asciiTheme="minorEastAsia" w:hAnsiTheme="minorEastAsia" w:eastAsiaTheme="minorEastAsia" w:cstheme="minorEastAsia"/>
                              <w:sz w:val="28"/>
                              <w:szCs w:val="28"/>
                            </w:rPr>
                          </w:pP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left:372.3pt;margin-top:-5.25pt;height:17.35pt;width:73.2pt;mso-position-horizontal-relative:margin;z-index:251660288;mso-width-relative:page;mso-height-relative:page;" filled="f" stroked="f" coordsize="21600,21600" o:gfxdata="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AxDqAe2QAAAAoBAAAPAAAAAAAAAAEAIAAAACIAAABkcnMvZG93bnJldi54&#10;bWxQSwECFAAUAAAACACHTuJAB6TyTTICAABXBAAADgAAAAAAAAABACAAAAAoAQAAZHJzL2Uyb0Rv&#10;Yy54bWxQSwUGAAAAAAYABgBZAQAAzAUAAAAA&#10;">
              <v:fill on="f" focussize="0,0"/>
              <v:stroke on="f" weight="0.5pt"/>
              <v:imagedata o:title=""/>
              <o:lock v:ext="edit" aspectratio="f"/>
              <v:textbox inset="0mm,0mm,0mm,0mm">
                <w:txbxContent>
                  <w:p w14:paraId="24D5CB07">
                    <w:pPr>
                      <w:snapToGrid w:val="0"/>
                      <w:rPr>
                        <w:rFonts w:asciiTheme="minorEastAsia" w:hAnsiTheme="minorEastAsia" w:eastAsiaTheme="minorEastAsia" w:cstheme="minorEastAsia"/>
                        <w:sz w:val="28"/>
                        <w:szCs w:val="28"/>
                      </w:rPr>
                    </w:pPr>
                  </w:p>
                </w:txbxContent>
              </v:textbox>
            </v:shape>
          </w:pict>
        </mc:Fallback>
      </mc:AlternateContent>
    </w:r>
    <w:r>
      <w:rPr>
        <w:rFonts w:hint="eastAsia"/>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9D4D03">
    <w:pPr>
      <w:pStyle w:val="7"/>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C8F8A8">
    <w:pPr>
      <w:pStyle w:val="7"/>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trackRevisions w:val="1"/>
  <w:documentProtection w:edit="readOnly" w:enforcement="0"/>
  <w:defaultTabStop w:val="420"/>
  <w:drawingGridHorizontalSpacing w:val="169"/>
  <w:drawingGridVerticalSpacing w:val="57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0A76"/>
    <w:rsid w:val="00005582"/>
    <w:rsid w:val="0001488B"/>
    <w:rsid w:val="00042CD9"/>
    <w:rsid w:val="00076F49"/>
    <w:rsid w:val="0008509C"/>
    <w:rsid w:val="000912B3"/>
    <w:rsid w:val="00091C90"/>
    <w:rsid w:val="000930EA"/>
    <w:rsid w:val="000A78AD"/>
    <w:rsid w:val="000B0804"/>
    <w:rsid w:val="000B37F4"/>
    <w:rsid w:val="000C0C75"/>
    <w:rsid w:val="000C4616"/>
    <w:rsid w:val="000D530D"/>
    <w:rsid w:val="000E5D63"/>
    <w:rsid w:val="001021E1"/>
    <w:rsid w:val="00117550"/>
    <w:rsid w:val="00123B73"/>
    <w:rsid w:val="00124E5D"/>
    <w:rsid w:val="001266B5"/>
    <w:rsid w:val="00131149"/>
    <w:rsid w:val="0013428F"/>
    <w:rsid w:val="0014230F"/>
    <w:rsid w:val="00147F2A"/>
    <w:rsid w:val="00161C86"/>
    <w:rsid w:val="00195806"/>
    <w:rsid w:val="001B3F85"/>
    <w:rsid w:val="001B4B72"/>
    <w:rsid w:val="001E28D8"/>
    <w:rsid w:val="001F1A84"/>
    <w:rsid w:val="0020791A"/>
    <w:rsid w:val="00213B95"/>
    <w:rsid w:val="00225C8C"/>
    <w:rsid w:val="002275D6"/>
    <w:rsid w:val="00234A35"/>
    <w:rsid w:val="002477AC"/>
    <w:rsid w:val="00256B7F"/>
    <w:rsid w:val="002571D7"/>
    <w:rsid w:val="00262B57"/>
    <w:rsid w:val="00271531"/>
    <w:rsid w:val="0027401F"/>
    <w:rsid w:val="00294B23"/>
    <w:rsid w:val="002B4B7E"/>
    <w:rsid w:val="002C3070"/>
    <w:rsid w:val="002C645F"/>
    <w:rsid w:val="002D3BF9"/>
    <w:rsid w:val="00303733"/>
    <w:rsid w:val="0032125D"/>
    <w:rsid w:val="00331238"/>
    <w:rsid w:val="00340571"/>
    <w:rsid w:val="0034486A"/>
    <w:rsid w:val="00364F38"/>
    <w:rsid w:val="003A2C02"/>
    <w:rsid w:val="003D4F4C"/>
    <w:rsid w:val="003D5DCF"/>
    <w:rsid w:val="003E354A"/>
    <w:rsid w:val="003E49F6"/>
    <w:rsid w:val="003F622E"/>
    <w:rsid w:val="00403E53"/>
    <w:rsid w:val="0041121E"/>
    <w:rsid w:val="00425DC8"/>
    <w:rsid w:val="0042728C"/>
    <w:rsid w:val="00450E0C"/>
    <w:rsid w:val="00477744"/>
    <w:rsid w:val="00482BD7"/>
    <w:rsid w:val="0048603F"/>
    <w:rsid w:val="00490A76"/>
    <w:rsid w:val="00492FDB"/>
    <w:rsid w:val="00493759"/>
    <w:rsid w:val="004A0940"/>
    <w:rsid w:val="004A48F6"/>
    <w:rsid w:val="004B2F31"/>
    <w:rsid w:val="004B4BB4"/>
    <w:rsid w:val="004B7095"/>
    <w:rsid w:val="004C10D7"/>
    <w:rsid w:val="004E5E6F"/>
    <w:rsid w:val="00500925"/>
    <w:rsid w:val="005035CA"/>
    <w:rsid w:val="00516460"/>
    <w:rsid w:val="00516FC4"/>
    <w:rsid w:val="00521C11"/>
    <w:rsid w:val="00550D04"/>
    <w:rsid w:val="00552B04"/>
    <w:rsid w:val="00553A65"/>
    <w:rsid w:val="00564193"/>
    <w:rsid w:val="00566C6E"/>
    <w:rsid w:val="00570891"/>
    <w:rsid w:val="00570D35"/>
    <w:rsid w:val="0058219B"/>
    <w:rsid w:val="005A4490"/>
    <w:rsid w:val="005B43B7"/>
    <w:rsid w:val="005B5480"/>
    <w:rsid w:val="005D1E2F"/>
    <w:rsid w:val="005D2F80"/>
    <w:rsid w:val="005D3D20"/>
    <w:rsid w:val="005D627E"/>
    <w:rsid w:val="005E1182"/>
    <w:rsid w:val="005E6C1D"/>
    <w:rsid w:val="005F5C93"/>
    <w:rsid w:val="005F7B2A"/>
    <w:rsid w:val="00601D66"/>
    <w:rsid w:val="00602904"/>
    <w:rsid w:val="00604A74"/>
    <w:rsid w:val="00605286"/>
    <w:rsid w:val="0060555F"/>
    <w:rsid w:val="00606374"/>
    <w:rsid w:val="00612127"/>
    <w:rsid w:val="00633013"/>
    <w:rsid w:val="0065181C"/>
    <w:rsid w:val="00653AF7"/>
    <w:rsid w:val="006555D9"/>
    <w:rsid w:val="0066569D"/>
    <w:rsid w:val="006805A6"/>
    <w:rsid w:val="00686427"/>
    <w:rsid w:val="00694ADA"/>
    <w:rsid w:val="006954D5"/>
    <w:rsid w:val="006A3EBA"/>
    <w:rsid w:val="006A7B0E"/>
    <w:rsid w:val="006A7F24"/>
    <w:rsid w:val="006D77E8"/>
    <w:rsid w:val="006E5016"/>
    <w:rsid w:val="0070075B"/>
    <w:rsid w:val="007007EF"/>
    <w:rsid w:val="0072551D"/>
    <w:rsid w:val="00734539"/>
    <w:rsid w:val="00737D22"/>
    <w:rsid w:val="00761A44"/>
    <w:rsid w:val="00764AC6"/>
    <w:rsid w:val="00772BEF"/>
    <w:rsid w:val="00772ED9"/>
    <w:rsid w:val="00784858"/>
    <w:rsid w:val="007B7D11"/>
    <w:rsid w:val="007C1497"/>
    <w:rsid w:val="007D121C"/>
    <w:rsid w:val="007D1DDC"/>
    <w:rsid w:val="007E5A6C"/>
    <w:rsid w:val="00810567"/>
    <w:rsid w:val="00837E7B"/>
    <w:rsid w:val="00842EB1"/>
    <w:rsid w:val="0086085C"/>
    <w:rsid w:val="00863040"/>
    <w:rsid w:val="008A3C0A"/>
    <w:rsid w:val="008C3CA7"/>
    <w:rsid w:val="008C679F"/>
    <w:rsid w:val="008D5A38"/>
    <w:rsid w:val="008D5C79"/>
    <w:rsid w:val="008F283F"/>
    <w:rsid w:val="00901886"/>
    <w:rsid w:val="00923BEE"/>
    <w:rsid w:val="00964474"/>
    <w:rsid w:val="009739BE"/>
    <w:rsid w:val="00981451"/>
    <w:rsid w:val="00986715"/>
    <w:rsid w:val="009A25BF"/>
    <w:rsid w:val="009A5C43"/>
    <w:rsid w:val="009A6F31"/>
    <w:rsid w:val="009B2E00"/>
    <w:rsid w:val="009B7666"/>
    <w:rsid w:val="009D7F10"/>
    <w:rsid w:val="009E4A90"/>
    <w:rsid w:val="009F60E2"/>
    <w:rsid w:val="009F663A"/>
    <w:rsid w:val="00A26F2C"/>
    <w:rsid w:val="00A351A2"/>
    <w:rsid w:val="00A67975"/>
    <w:rsid w:val="00A81D83"/>
    <w:rsid w:val="00A84097"/>
    <w:rsid w:val="00A91BC4"/>
    <w:rsid w:val="00AA1064"/>
    <w:rsid w:val="00AA1808"/>
    <w:rsid w:val="00AB4DA0"/>
    <w:rsid w:val="00AC62FF"/>
    <w:rsid w:val="00AC7952"/>
    <w:rsid w:val="00AF71EA"/>
    <w:rsid w:val="00B04BE1"/>
    <w:rsid w:val="00B07771"/>
    <w:rsid w:val="00B1196F"/>
    <w:rsid w:val="00B20273"/>
    <w:rsid w:val="00B31C90"/>
    <w:rsid w:val="00B35289"/>
    <w:rsid w:val="00B5260D"/>
    <w:rsid w:val="00B755A6"/>
    <w:rsid w:val="00B83373"/>
    <w:rsid w:val="00B93FD3"/>
    <w:rsid w:val="00BA5F66"/>
    <w:rsid w:val="00BB6486"/>
    <w:rsid w:val="00BC06FF"/>
    <w:rsid w:val="00BC1A90"/>
    <w:rsid w:val="00BD2277"/>
    <w:rsid w:val="00BF0026"/>
    <w:rsid w:val="00BF0AD4"/>
    <w:rsid w:val="00BF0F6A"/>
    <w:rsid w:val="00C014BE"/>
    <w:rsid w:val="00C02ABD"/>
    <w:rsid w:val="00C04226"/>
    <w:rsid w:val="00C156B5"/>
    <w:rsid w:val="00C32FFC"/>
    <w:rsid w:val="00C51DFE"/>
    <w:rsid w:val="00C57827"/>
    <w:rsid w:val="00C60FB3"/>
    <w:rsid w:val="00C64085"/>
    <w:rsid w:val="00C72CAB"/>
    <w:rsid w:val="00C92BA6"/>
    <w:rsid w:val="00CA025B"/>
    <w:rsid w:val="00CC4FC9"/>
    <w:rsid w:val="00CC5125"/>
    <w:rsid w:val="00CD53BB"/>
    <w:rsid w:val="00CE3E3B"/>
    <w:rsid w:val="00CE5526"/>
    <w:rsid w:val="00D03C25"/>
    <w:rsid w:val="00D1235E"/>
    <w:rsid w:val="00D178B8"/>
    <w:rsid w:val="00D2266A"/>
    <w:rsid w:val="00D266A3"/>
    <w:rsid w:val="00D27B98"/>
    <w:rsid w:val="00D42933"/>
    <w:rsid w:val="00D44780"/>
    <w:rsid w:val="00D54D66"/>
    <w:rsid w:val="00D55F82"/>
    <w:rsid w:val="00D715D9"/>
    <w:rsid w:val="00D72EBA"/>
    <w:rsid w:val="00D83DEF"/>
    <w:rsid w:val="00D914D4"/>
    <w:rsid w:val="00D95935"/>
    <w:rsid w:val="00DB3409"/>
    <w:rsid w:val="00DB5E2D"/>
    <w:rsid w:val="00DB6ED3"/>
    <w:rsid w:val="00DB795A"/>
    <w:rsid w:val="00DB7C7F"/>
    <w:rsid w:val="00DE2505"/>
    <w:rsid w:val="00DE3F85"/>
    <w:rsid w:val="00E00732"/>
    <w:rsid w:val="00E12F62"/>
    <w:rsid w:val="00E1628A"/>
    <w:rsid w:val="00E6029D"/>
    <w:rsid w:val="00E646DC"/>
    <w:rsid w:val="00E71E81"/>
    <w:rsid w:val="00E7618F"/>
    <w:rsid w:val="00E81227"/>
    <w:rsid w:val="00E91E64"/>
    <w:rsid w:val="00EA02E9"/>
    <w:rsid w:val="00EA37F8"/>
    <w:rsid w:val="00EC6E29"/>
    <w:rsid w:val="00EC725C"/>
    <w:rsid w:val="00ED4676"/>
    <w:rsid w:val="00EE5CB3"/>
    <w:rsid w:val="00F276E0"/>
    <w:rsid w:val="00F32450"/>
    <w:rsid w:val="00F42CBB"/>
    <w:rsid w:val="00F50D65"/>
    <w:rsid w:val="00F54F05"/>
    <w:rsid w:val="00F56F42"/>
    <w:rsid w:val="00F572DC"/>
    <w:rsid w:val="00F73798"/>
    <w:rsid w:val="00F80926"/>
    <w:rsid w:val="00F80A33"/>
    <w:rsid w:val="00F81B52"/>
    <w:rsid w:val="00F926DB"/>
    <w:rsid w:val="00F95151"/>
    <w:rsid w:val="00FB2D3C"/>
    <w:rsid w:val="00FE0985"/>
    <w:rsid w:val="00FE09DE"/>
    <w:rsid w:val="00FE49D8"/>
    <w:rsid w:val="01C04572"/>
    <w:rsid w:val="0200759A"/>
    <w:rsid w:val="02400EDB"/>
    <w:rsid w:val="029C09AA"/>
    <w:rsid w:val="03464D22"/>
    <w:rsid w:val="03C258A6"/>
    <w:rsid w:val="0530461C"/>
    <w:rsid w:val="05506A0D"/>
    <w:rsid w:val="058D5D6A"/>
    <w:rsid w:val="08EB41DA"/>
    <w:rsid w:val="09986A40"/>
    <w:rsid w:val="09B06BC6"/>
    <w:rsid w:val="0A1B382C"/>
    <w:rsid w:val="0B9E4D79"/>
    <w:rsid w:val="0BAD1719"/>
    <w:rsid w:val="0BE91CD8"/>
    <w:rsid w:val="0C7876DE"/>
    <w:rsid w:val="0CBC75EC"/>
    <w:rsid w:val="0EA85C4B"/>
    <w:rsid w:val="0F6600AF"/>
    <w:rsid w:val="0FB84E16"/>
    <w:rsid w:val="0FBEA19F"/>
    <w:rsid w:val="101D3D97"/>
    <w:rsid w:val="10E1421E"/>
    <w:rsid w:val="115300CC"/>
    <w:rsid w:val="11AA50A6"/>
    <w:rsid w:val="11F21C0D"/>
    <w:rsid w:val="12143606"/>
    <w:rsid w:val="12522C29"/>
    <w:rsid w:val="12A63952"/>
    <w:rsid w:val="146B01F5"/>
    <w:rsid w:val="14C209E1"/>
    <w:rsid w:val="151A0EB9"/>
    <w:rsid w:val="152F41A7"/>
    <w:rsid w:val="15B06D27"/>
    <w:rsid w:val="16730261"/>
    <w:rsid w:val="167B7793"/>
    <w:rsid w:val="16847379"/>
    <w:rsid w:val="174952E3"/>
    <w:rsid w:val="17BF2FBA"/>
    <w:rsid w:val="17CF26F4"/>
    <w:rsid w:val="180E4516"/>
    <w:rsid w:val="18807EC5"/>
    <w:rsid w:val="18F73A05"/>
    <w:rsid w:val="19505B53"/>
    <w:rsid w:val="19650C20"/>
    <w:rsid w:val="197A371F"/>
    <w:rsid w:val="198B61EA"/>
    <w:rsid w:val="19E645F6"/>
    <w:rsid w:val="1A5237D2"/>
    <w:rsid w:val="1B3C0A64"/>
    <w:rsid w:val="1B6066CC"/>
    <w:rsid w:val="1BB51712"/>
    <w:rsid w:val="1D33228F"/>
    <w:rsid w:val="1DDD26C2"/>
    <w:rsid w:val="1DE2263C"/>
    <w:rsid w:val="1DF82449"/>
    <w:rsid w:val="1E6D0A91"/>
    <w:rsid w:val="1FAE63A5"/>
    <w:rsid w:val="21432B13"/>
    <w:rsid w:val="21D840EA"/>
    <w:rsid w:val="220D2283"/>
    <w:rsid w:val="22AB5A55"/>
    <w:rsid w:val="235B5D48"/>
    <w:rsid w:val="23A25E18"/>
    <w:rsid w:val="24A91D78"/>
    <w:rsid w:val="24BC297A"/>
    <w:rsid w:val="251A012E"/>
    <w:rsid w:val="252D6C96"/>
    <w:rsid w:val="25300745"/>
    <w:rsid w:val="25E92592"/>
    <w:rsid w:val="2629060B"/>
    <w:rsid w:val="2750515B"/>
    <w:rsid w:val="278D39F6"/>
    <w:rsid w:val="27AF661D"/>
    <w:rsid w:val="297B5D11"/>
    <w:rsid w:val="2A2C1855"/>
    <w:rsid w:val="2A877062"/>
    <w:rsid w:val="2A916321"/>
    <w:rsid w:val="2AA25C73"/>
    <w:rsid w:val="2AAE4CAC"/>
    <w:rsid w:val="2B8425B8"/>
    <w:rsid w:val="2BAB5963"/>
    <w:rsid w:val="2BD90080"/>
    <w:rsid w:val="2C5E4109"/>
    <w:rsid w:val="2D1E2E0D"/>
    <w:rsid w:val="2D3958FA"/>
    <w:rsid w:val="2DB3575A"/>
    <w:rsid w:val="2E12396E"/>
    <w:rsid w:val="2E8558DC"/>
    <w:rsid w:val="2F662290"/>
    <w:rsid w:val="2FD72A4D"/>
    <w:rsid w:val="2FFA63C6"/>
    <w:rsid w:val="324D4936"/>
    <w:rsid w:val="33120C35"/>
    <w:rsid w:val="33272ACC"/>
    <w:rsid w:val="33761233"/>
    <w:rsid w:val="338741F3"/>
    <w:rsid w:val="33C21221"/>
    <w:rsid w:val="34BB769F"/>
    <w:rsid w:val="350533A4"/>
    <w:rsid w:val="35484EA0"/>
    <w:rsid w:val="356912F5"/>
    <w:rsid w:val="35765D4C"/>
    <w:rsid w:val="35E60FE7"/>
    <w:rsid w:val="35ED1A54"/>
    <w:rsid w:val="36BB6FFC"/>
    <w:rsid w:val="36BC4B2B"/>
    <w:rsid w:val="373F6568"/>
    <w:rsid w:val="378C7AF8"/>
    <w:rsid w:val="37C33808"/>
    <w:rsid w:val="382240DD"/>
    <w:rsid w:val="38931923"/>
    <w:rsid w:val="38C7624D"/>
    <w:rsid w:val="39296970"/>
    <w:rsid w:val="3AA6DAF7"/>
    <w:rsid w:val="3B1B5A68"/>
    <w:rsid w:val="3B8813DF"/>
    <w:rsid w:val="3BD232D5"/>
    <w:rsid w:val="3BD26706"/>
    <w:rsid w:val="3C037495"/>
    <w:rsid w:val="3CC44E88"/>
    <w:rsid w:val="3F931636"/>
    <w:rsid w:val="3F960507"/>
    <w:rsid w:val="3FCFD3A4"/>
    <w:rsid w:val="3FF5D3D3"/>
    <w:rsid w:val="3FFC3E1A"/>
    <w:rsid w:val="3FFF0762"/>
    <w:rsid w:val="4106713A"/>
    <w:rsid w:val="411C3818"/>
    <w:rsid w:val="41E52835"/>
    <w:rsid w:val="41EE5A86"/>
    <w:rsid w:val="42452002"/>
    <w:rsid w:val="43505172"/>
    <w:rsid w:val="44045815"/>
    <w:rsid w:val="44606302"/>
    <w:rsid w:val="4499217C"/>
    <w:rsid w:val="44C6514F"/>
    <w:rsid w:val="44F45605"/>
    <w:rsid w:val="44FA7072"/>
    <w:rsid w:val="453845E4"/>
    <w:rsid w:val="46241DD5"/>
    <w:rsid w:val="462E3142"/>
    <w:rsid w:val="46EA7D19"/>
    <w:rsid w:val="46F3CD06"/>
    <w:rsid w:val="46FB797D"/>
    <w:rsid w:val="47E301F3"/>
    <w:rsid w:val="47FC0720"/>
    <w:rsid w:val="480E1419"/>
    <w:rsid w:val="485D76A5"/>
    <w:rsid w:val="489B0AF2"/>
    <w:rsid w:val="49483E90"/>
    <w:rsid w:val="4A092044"/>
    <w:rsid w:val="4A0B5830"/>
    <w:rsid w:val="4BB02B74"/>
    <w:rsid w:val="4BF682E8"/>
    <w:rsid w:val="4E29568B"/>
    <w:rsid w:val="4F007DE3"/>
    <w:rsid w:val="50DA0D01"/>
    <w:rsid w:val="51367439"/>
    <w:rsid w:val="51741E81"/>
    <w:rsid w:val="51CB1992"/>
    <w:rsid w:val="5208735D"/>
    <w:rsid w:val="53AE44E5"/>
    <w:rsid w:val="542B3CCF"/>
    <w:rsid w:val="54877E51"/>
    <w:rsid w:val="54D165DD"/>
    <w:rsid w:val="56D82E2E"/>
    <w:rsid w:val="579851C1"/>
    <w:rsid w:val="582176A3"/>
    <w:rsid w:val="58391E50"/>
    <w:rsid w:val="58ED7C40"/>
    <w:rsid w:val="59293523"/>
    <w:rsid w:val="5959606B"/>
    <w:rsid w:val="59792F4E"/>
    <w:rsid w:val="5A1029F4"/>
    <w:rsid w:val="5A510881"/>
    <w:rsid w:val="5A57687C"/>
    <w:rsid w:val="5B370F76"/>
    <w:rsid w:val="5B563719"/>
    <w:rsid w:val="5B9E71DC"/>
    <w:rsid w:val="5BAA2F91"/>
    <w:rsid w:val="5CBA64FE"/>
    <w:rsid w:val="5CD6115D"/>
    <w:rsid w:val="5D5A6E09"/>
    <w:rsid w:val="5D8D2812"/>
    <w:rsid w:val="5D917125"/>
    <w:rsid w:val="5DE10276"/>
    <w:rsid w:val="5E4962EB"/>
    <w:rsid w:val="5EDF57B7"/>
    <w:rsid w:val="5F224280"/>
    <w:rsid w:val="5F350C62"/>
    <w:rsid w:val="5F6D7F51"/>
    <w:rsid w:val="5FA84C39"/>
    <w:rsid w:val="5FEF2E49"/>
    <w:rsid w:val="5FFB207B"/>
    <w:rsid w:val="60435B53"/>
    <w:rsid w:val="604A1451"/>
    <w:rsid w:val="61711E91"/>
    <w:rsid w:val="6192389C"/>
    <w:rsid w:val="61F70B90"/>
    <w:rsid w:val="62407C39"/>
    <w:rsid w:val="63036CBC"/>
    <w:rsid w:val="63D80686"/>
    <w:rsid w:val="658B6068"/>
    <w:rsid w:val="658C64AA"/>
    <w:rsid w:val="66433FC9"/>
    <w:rsid w:val="6707137A"/>
    <w:rsid w:val="671261C7"/>
    <w:rsid w:val="69045857"/>
    <w:rsid w:val="69065B02"/>
    <w:rsid w:val="6B804932"/>
    <w:rsid w:val="6BAE6ED1"/>
    <w:rsid w:val="6C63599C"/>
    <w:rsid w:val="6C957420"/>
    <w:rsid w:val="6CEA578E"/>
    <w:rsid w:val="6E8F6F36"/>
    <w:rsid w:val="6F454CBB"/>
    <w:rsid w:val="6FED77F3"/>
    <w:rsid w:val="6FF14EFE"/>
    <w:rsid w:val="7175790F"/>
    <w:rsid w:val="72CB242A"/>
    <w:rsid w:val="72CC2718"/>
    <w:rsid w:val="73295BCF"/>
    <w:rsid w:val="73A501F7"/>
    <w:rsid w:val="747508CA"/>
    <w:rsid w:val="747C3F17"/>
    <w:rsid w:val="74BF050A"/>
    <w:rsid w:val="74C040FE"/>
    <w:rsid w:val="74DD33C7"/>
    <w:rsid w:val="75473ACF"/>
    <w:rsid w:val="75555038"/>
    <w:rsid w:val="75F303DF"/>
    <w:rsid w:val="762F22C8"/>
    <w:rsid w:val="76362CA6"/>
    <w:rsid w:val="76E87845"/>
    <w:rsid w:val="76F97C63"/>
    <w:rsid w:val="771A41DC"/>
    <w:rsid w:val="776A1721"/>
    <w:rsid w:val="7873160F"/>
    <w:rsid w:val="789F6213"/>
    <w:rsid w:val="78CC7121"/>
    <w:rsid w:val="79330058"/>
    <w:rsid w:val="79704DCF"/>
    <w:rsid w:val="7A795F15"/>
    <w:rsid w:val="7A7D5F36"/>
    <w:rsid w:val="7C2E139C"/>
    <w:rsid w:val="7D59721C"/>
    <w:rsid w:val="7D647E3A"/>
    <w:rsid w:val="7E9D7FFA"/>
    <w:rsid w:val="7EF433FC"/>
    <w:rsid w:val="7F7F89EE"/>
    <w:rsid w:val="7FCF3178"/>
    <w:rsid w:val="7FED068C"/>
    <w:rsid w:val="7FFF1B46"/>
    <w:rsid w:val="B63B6FD4"/>
    <w:rsid w:val="BB793A8C"/>
    <w:rsid w:val="BEFA5065"/>
    <w:rsid w:val="BEFB6DC1"/>
    <w:rsid w:val="BFDFFD7F"/>
    <w:rsid w:val="BFF798C2"/>
    <w:rsid w:val="BFFFC146"/>
    <w:rsid w:val="C5FF0FDB"/>
    <w:rsid w:val="C6DEF02F"/>
    <w:rsid w:val="CED2A2CB"/>
    <w:rsid w:val="DEBBE1DE"/>
    <w:rsid w:val="DFC5FD04"/>
    <w:rsid w:val="F30FDBEB"/>
    <w:rsid w:val="F3FE1D6C"/>
    <w:rsid w:val="F563632A"/>
    <w:rsid w:val="F5FB8056"/>
    <w:rsid w:val="F66E647D"/>
    <w:rsid w:val="F6FABA48"/>
    <w:rsid w:val="F89DB724"/>
    <w:rsid w:val="F9FD3F6D"/>
    <w:rsid w:val="FABF11D9"/>
    <w:rsid w:val="FBD7082E"/>
    <w:rsid w:val="FE7963C8"/>
    <w:rsid w:val="FFDB530A"/>
    <w:rsid w:val="FFDD961E"/>
    <w:rsid w:val="FFEF42D7"/>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weight="1.5pt" color="#99CCFF"/>
      <v:shadow on="t" obscured="f" color="#990000" opacity="65536f" offset="2pt,2pt" offset2="0pt,0pt" origin="0f,0f" matrix="65536f,0f,0f,65536f,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qFormat/>
    <w:uiPriority w:val="0"/>
    <w:pPr>
      <w:ind w:firstLine="420" w:firstLineChars="100"/>
    </w:pPr>
  </w:style>
  <w:style w:type="paragraph" w:styleId="3">
    <w:name w:val="Body Text"/>
    <w:basedOn w:val="1"/>
    <w:qFormat/>
    <w:uiPriority w:val="0"/>
    <w:pPr>
      <w:spacing w:after="120" w:afterLines="0" w:afterAutospacing="0"/>
    </w:pPr>
  </w:style>
  <w:style w:type="paragraph" w:styleId="4">
    <w:name w:val="Date"/>
    <w:basedOn w:val="1"/>
    <w:next w:val="1"/>
    <w:link w:val="12"/>
    <w:qFormat/>
    <w:uiPriority w:val="0"/>
    <w:rPr>
      <w:rFonts w:ascii="仿宋_GB2312"/>
    </w:rPr>
  </w:style>
  <w:style w:type="paragraph" w:styleId="5">
    <w:name w:val="Balloon Text"/>
    <w:basedOn w:val="1"/>
    <w:link w:val="13"/>
    <w:qFormat/>
    <w:uiPriority w:val="0"/>
    <w:rPr>
      <w:sz w:val="18"/>
      <w:szCs w:val="18"/>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link w:val="14"/>
    <w:qFormat/>
    <w:uiPriority w:val="0"/>
    <w:pPr>
      <w:pBdr>
        <w:bottom w:val="single" w:color="auto" w:sz="6" w:space="1"/>
      </w:pBdr>
      <w:tabs>
        <w:tab w:val="center" w:pos="4153"/>
        <w:tab w:val="right" w:pos="8306"/>
      </w:tabs>
      <w:snapToGrid w:val="0"/>
      <w:jc w:val="center"/>
    </w:pPr>
    <w:rPr>
      <w:sz w:val="18"/>
      <w:szCs w:val="18"/>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page number"/>
    <w:basedOn w:val="10"/>
    <w:qFormat/>
    <w:uiPriority w:val="0"/>
  </w:style>
  <w:style w:type="character" w:customStyle="1" w:styleId="12">
    <w:name w:val="日期 字符"/>
    <w:basedOn w:val="10"/>
    <w:link w:val="4"/>
    <w:qFormat/>
    <w:uiPriority w:val="0"/>
    <w:rPr>
      <w:rFonts w:ascii="仿宋_GB2312" w:eastAsia="仿宋_GB2312"/>
      <w:kern w:val="2"/>
      <w:sz w:val="32"/>
      <w:szCs w:val="24"/>
    </w:rPr>
  </w:style>
  <w:style w:type="character" w:customStyle="1" w:styleId="13">
    <w:name w:val="批注框文本 字符"/>
    <w:basedOn w:val="10"/>
    <w:link w:val="5"/>
    <w:qFormat/>
    <w:uiPriority w:val="0"/>
    <w:rPr>
      <w:rFonts w:eastAsia="仿宋_GB2312"/>
      <w:kern w:val="2"/>
      <w:sz w:val="18"/>
      <w:szCs w:val="18"/>
    </w:rPr>
  </w:style>
  <w:style w:type="character" w:customStyle="1" w:styleId="14">
    <w:name w:val="页眉 字符"/>
    <w:basedOn w:val="10"/>
    <w:link w:val="7"/>
    <w:qFormat/>
    <w:uiPriority w:val="0"/>
    <w:rPr>
      <w:rFonts w:eastAsia="仿宋_GB2312"/>
      <w:kern w:val="2"/>
      <w:sz w:val="18"/>
      <w:szCs w:val="18"/>
    </w:rPr>
  </w:style>
  <w:style w:type="paragraph" w:customStyle="1" w:styleId="15">
    <w:name w:val="Heading #2|1"/>
    <w:basedOn w:val="1"/>
    <w:qFormat/>
    <w:uiPriority w:val="0"/>
    <w:pPr>
      <w:spacing w:before="390" w:after="580" w:line="605" w:lineRule="exact"/>
      <w:jc w:val="center"/>
      <w:outlineLvl w:val="1"/>
    </w:pPr>
    <w:rPr>
      <w:rFonts w:ascii="宋体" w:hAnsi="宋体" w:eastAsia="宋体" w:cs="宋体"/>
      <w:sz w:val="44"/>
      <w:szCs w:val="44"/>
      <w:lang w:val="zh-TW" w:eastAsia="zh-TW" w:bidi="zh-TW"/>
    </w:rPr>
  </w:style>
  <w:style w:type="paragraph" w:customStyle="1" w:styleId="16">
    <w:name w:val="Body text|1"/>
    <w:basedOn w:val="1"/>
    <w:qFormat/>
    <w:uiPriority w:val="0"/>
    <w:pPr>
      <w:spacing w:line="422" w:lineRule="auto"/>
      <w:ind w:firstLine="400"/>
    </w:pPr>
    <w:rPr>
      <w:rFonts w:ascii="宋体" w:hAnsi="宋体" w:eastAsia="宋体" w:cs="宋体"/>
      <w:sz w:val="30"/>
      <w:szCs w:val="30"/>
      <w:lang w:val="zh-TW" w:eastAsia="zh-TW" w:bidi="zh-TW"/>
    </w:rPr>
  </w:style>
  <w:style w:type="paragraph" w:customStyle="1" w:styleId="17">
    <w:name w:val="Body text|2"/>
    <w:basedOn w:val="1"/>
    <w:qFormat/>
    <w:uiPriority w:val="0"/>
    <w:pPr>
      <w:spacing w:after="240"/>
      <w:jc w:val="center"/>
    </w:pPr>
    <w:rPr>
      <w:rFonts w:ascii="宋体" w:hAnsi="宋体" w:eastAsia="宋体" w:cs="宋体"/>
      <w:sz w:val="34"/>
      <w:szCs w:val="34"/>
      <w:lang w:val="zh-TW" w:eastAsia="zh-TW" w:bidi="zh-TW"/>
    </w:rPr>
  </w:style>
  <w:style w:type="paragraph" w:customStyle="1" w:styleId="18">
    <w:name w:val="Other|1"/>
    <w:basedOn w:val="1"/>
    <w:qFormat/>
    <w:uiPriority w:val="0"/>
    <w:pPr>
      <w:spacing w:line="422" w:lineRule="auto"/>
      <w:ind w:firstLine="400"/>
    </w:pPr>
    <w:rPr>
      <w:rFonts w:ascii="宋体" w:hAnsi="宋体" w:eastAsia="宋体" w:cs="宋体"/>
      <w:sz w:val="30"/>
      <w:szCs w:val="30"/>
      <w:lang w:val="zh-TW" w:eastAsia="zh-TW" w:bidi="zh-TW"/>
    </w:rPr>
  </w:style>
  <w:style w:type="paragraph" w:customStyle="1" w:styleId="19">
    <w:name w:val="Header or footer|1"/>
    <w:basedOn w:val="1"/>
    <w:qFormat/>
    <w:uiPriority w:val="0"/>
    <w:rPr>
      <w:rFonts w:ascii="宋体" w:hAnsi="宋体" w:eastAsia="宋体" w:cs="宋体"/>
      <w:sz w:val="30"/>
      <w:szCs w:val="30"/>
      <w:lang w:val="zh-TW" w:eastAsia="zh-TW" w:bidi="zh-TW"/>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openxmlformats.org/officeDocument/2006/relationships/image" Target="http://portal.fj.cegn.cn:8081/lw-zwbg-cloud//core/upload/2026/06/16/20260616055125535.bmp" TargetMode="External"/><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microsoft.com/office/2006/relationships/keyMapCustomizations" Target="customizations.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Info spid="_x0000_s2135"/>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Company> </Company>
  <Pages>10</Pages>
  <Words>132</Words>
  <Characters>754</Characters>
  <Lines>1</Lines>
  <Paragraphs>1</Paragraphs>
  <TotalTime>9</TotalTime>
  <ScaleCrop>false</ScaleCrop>
  <LinksUpToDate>false</LinksUpToDate>
  <CharactersWithSpaces>885</CharactersWithSpaces>
  <Application>WPS Office_12.8.2.20327_F1E327BC-269C-435d-A152-05C5408002CA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2013-10-19T09:18:00Z</dcterms:created>
  <dc:creator>hwenfeng</dc:creator>
  <cp:lastModifiedBy>kjt</cp:lastModifiedBy>
  <cp:lastPrinted>2021-12-11T17:34:00Z</cp:lastPrinted>
  <dcterms:modified xsi:type="dcterms:W3CDTF">2026-07-03T12:55:06Z</dcterms:modified>
  <dc:title>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2052-12.8.2.20327</vt:lpwstr>
  </property>
  <property fmtid="{D5CDD505-2E9C-101B-9397-08002B2CF9AE}" pid="3" name="ICV">
    <vt:lpwstr>CAD8EA913E5BBB2AAA40476AD62E3999_43</vt:lpwstr>
  </property>
</Properties>
</file>